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horzAnchor="margin" w:tblpXSpec="center" w:tblpY="-1440"/>
        <w:tblW w:w="15026" w:type="dxa"/>
        <w:tblInd w:w="0" w:type="dxa"/>
        <w:tblLayout w:type="fixed"/>
        <w:tblCellMar>
          <w:top w:w="0" w:type="dxa"/>
          <w:left w:w="108" w:type="dxa"/>
          <w:bottom w:w="0" w:type="dxa"/>
          <w:right w:w="108" w:type="dxa"/>
        </w:tblCellMar>
      </w:tblPr>
      <w:tblGrid>
        <w:gridCol w:w="709"/>
        <w:gridCol w:w="1134"/>
        <w:gridCol w:w="8930"/>
        <w:gridCol w:w="1134"/>
        <w:gridCol w:w="3119"/>
      </w:tblGrid>
      <w:tr>
        <w:tblPrEx>
          <w:tblLayout w:type="fixed"/>
          <w:tblCellMar>
            <w:top w:w="0" w:type="dxa"/>
            <w:left w:w="108" w:type="dxa"/>
            <w:bottom w:w="0" w:type="dxa"/>
            <w:right w:w="108" w:type="dxa"/>
          </w:tblCellMar>
        </w:tblPrEx>
        <w:trPr>
          <w:trHeight w:val="525" w:hRule="atLeast"/>
        </w:trPr>
        <w:tc>
          <w:tcPr>
            <w:tcW w:w="1843" w:type="dxa"/>
            <w:gridSpan w:val="2"/>
            <w:tcBorders>
              <w:top w:val="nil"/>
              <w:left w:val="nil"/>
              <w:bottom w:val="nil"/>
              <w:right w:val="nil"/>
            </w:tcBorders>
            <w:shd w:val="clear" w:color="auto" w:fill="auto"/>
            <w:vAlign w:val="center"/>
          </w:tcPr>
          <w:p>
            <w:pPr>
              <w:spacing w:after="0"/>
              <w:rPr>
                <w:rFonts w:ascii="黑体" w:hAnsi="黑体" w:eastAsia="黑体" w:cs="宋体"/>
                <w:sz w:val="32"/>
                <w:szCs w:val="32"/>
              </w:rPr>
            </w:pPr>
            <w:r>
              <w:rPr>
                <w:rFonts w:hint="eastAsia" w:ascii="黑体" w:hAnsi="黑体" w:eastAsia="黑体" w:cs="宋体"/>
                <w:sz w:val="32"/>
                <w:szCs w:val="32"/>
              </w:rPr>
              <w:t xml:space="preserve"> </w:t>
            </w:r>
          </w:p>
          <w:p>
            <w:pPr>
              <w:spacing w:after="0"/>
              <w:rPr>
                <w:rFonts w:ascii="黑体" w:hAnsi="黑体" w:eastAsia="黑体" w:cs="宋体"/>
                <w:sz w:val="28"/>
                <w:szCs w:val="28"/>
              </w:rPr>
            </w:pPr>
            <w:r>
              <w:rPr>
                <w:rFonts w:hint="eastAsia" w:ascii="黑体" w:hAnsi="黑体" w:eastAsia="黑体" w:cs="宋体"/>
                <w:sz w:val="28"/>
                <w:szCs w:val="28"/>
              </w:rPr>
              <w:t xml:space="preserve"> </w:t>
            </w:r>
            <w:bookmarkStart w:id="0" w:name="RANGE!A1:E55"/>
            <w:r>
              <w:rPr>
                <w:rFonts w:hint="eastAsia" w:ascii="黑体" w:hAnsi="黑体" w:eastAsia="黑体" w:cs="宋体"/>
                <w:sz w:val="28"/>
                <w:szCs w:val="28"/>
              </w:rPr>
              <w:t>附件</w:t>
            </w:r>
            <w:bookmarkEnd w:id="0"/>
          </w:p>
        </w:tc>
        <w:tc>
          <w:tcPr>
            <w:tcW w:w="8930" w:type="dxa"/>
            <w:tcBorders>
              <w:top w:val="nil"/>
              <w:left w:val="nil"/>
              <w:bottom w:val="nil"/>
              <w:right w:val="nil"/>
            </w:tcBorders>
            <w:shd w:val="clear" w:color="auto" w:fill="auto"/>
            <w:vAlign w:val="center"/>
          </w:tcPr>
          <w:p>
            <w:pPr>
              <w:spacing w:after="0"/>
              <w:rPr>
                <w:rFonts w:ascii="黑体" w:hAnsi="黑体" w:eastAsia="黑体" w:cs="宋体"/>
                <w:sz w:val="32"/>
                <w:szCs w:val="32"/>
              </w:rPr>
            </w:pPr>
          </w:p>
        </w:tc>
        <w:tc>
          <w:tcPr>
            <w:tcW w:w="1134" w:type="dxa"/>
            <w:tcBorders>
              <w:top w:val="nil"/>
              <w:left w:val="nil"/>
              <w:bottom w:val="nil"/>
              <w:right w:val="nil"/>
            </w:tcBorders>
            <w:shd w:val="clear" w:color="auto" w:fill="auto"/>
            <w:vAlign w:val="center"/>
          </w:tcPr>
          <w:p>
            <w:pPr>
              <w:spacing w:after="0"/>
              <w:rPr>
                <w:rFonts w:ascii="Times New Roman" w:hAnsi="Times New Roman" w:eastAsia="Times New Roman" w:cs="Times New Roman"/>
              </w:rPr>
            </w:pPr>
          </w:p>
        </w:tc>
        <w:tc>
          <w:tcPr>
            <w:tcW w:w="3119" w:type="dxa"/>
            <w:tcBorders>
              <w:top w:val="nil"/>
              <w:left w:val="nil"/>
              <w:bottom w:val="nil"/>
              <w:right w:val="nil"/>
            </w:tcBorders>
            <w:shd w:val="clear" w:color="auto" w:fill="auto"/>
            <w:vAlign w:val="center"/>
          </w:tcPr>
          <w:p>
            <w:pPr>
              <w:spacing w:after="0"/>
              <w:rPr>
                <w:rFonts w:ascii="Times New Roman" w:hAnsi="Times New Roman" w:eastAsia="Times New Roman" w:cs="Times New Roman"/>
              </w:rPr>
            </w:pPr>
          </w:p>
        </w:tc>
      </w:tr>
      <w:tr>
        <w:tblPrEx>
          <w:tblLayout w:type="fixed"/>
          <w:tblCellMar>
            <w:top w:w="0" w:type="dxa"/>
            <w:left w:w="108" w:type="dxa"/>
            <w:bottom w:w="0" w:type="dxa"/>
            <w:right w:w="108" w:type="dxa"/>
          </w:tblCellMar>
        </w:tblPrEx>
        <w:trPr>
          <w:trHeight w:val="764" w:hRule="atLeast"/>
        </w:trPr>
        <w:tc>
          <w:tcPr>
            <w:tcW w:w="11907" w:type="dxa"/>
            <w:gridSpan w:val="4"/>
            <w:tcBorders>
              <w:top w:val="nil"/>
              <w:left w:val="nil"/>
              <w:bottom w:val="nil"/>
              <w:right w:val="nil"/>
            </w:tcBorders>
            <w:shd w:val="clear" w:color="auto" w:fill="auto"/>
            <w:vAlign w:val="center"/>
          </w:tcPr>
          <w:p>
            <w:pPr>
              <w:spacing w:before="0"/>
              <w:jc w:val="both"/>
              <w:rPr>
                <w:rFonts w:ascii="黑体" w:hAnsi="黑体" w:eastAsia="黑体" w:cs="宋体"/>
                <w:sz w:val="36"/>
                <w:szCs w:val="36"/>
              </w:rPr>
            </w:pPr>
          </w:p>
          <w:p>
            <w:pPr>
              <w:spacing w:before="0"/>
              <w:jc w:val="right"/>
              <w:rPr>
                <w:rFonts w:ascii="黑体" w:hAnsi="黑体" w:eastAsia="黑体" w:cs="宋体"/>
                <w:sz w:val="36"/>
                <w:szCs w:val="36"/>
              </w:rPr>
            </w:pPr>
            <w:r>
              <w:rPr>
                <w:rFonts w:hint="eastAsia" w:ascii="黑体" w:hAnsi="黑体" w:eastAsia="黑体" w:cs="宋体"/>
                <w:sz w:val="36"/>
                <w:szCs w:val="36"/>
              </w:rPr>
              <w:t>福州市工程建设项目审批制度改革</w:t>
            </w:r>
            <w:r>
              <w:rPr>
                <w:rFonts w:hint="eastAsia" w:ascii="黑体" w:hAnsi="黑体" w:eastAsia="黑体" w:cs="宋体"/>
                <w:sz w:val="36"/>
                <w:szCs w:val="36"/>
                <w:lang w:eastAsia="zh-CN"/>
              </w:rPr>
              <w:t>实施</w:t>
            </w:r>
            <w:bookmarkStart w:id="3" w:name="_GoBack"/>
            <w:bookmarkEnd w:id="3"/>
            <w:r>
              <w:rPr>
                <w:rFonts w:hint="eastAsia" w:ascii="黑体" w:hAnsi="黑体" w:eastAsia="黑体" w:cs="宋体"/>
                <w:sz w:val="36"/>
                <w:szCs w:val="36"/>
              </w:rPr>
              <w:t>意见工作任务分解表</w:t>
            </w:r>
          </w:p>
        </w:tc>
        <w:tc>
          <w:tcPr>
            <w:tcW w:w="3119" w:type="dxa"/>
            <w:tcBorders>
              <w:top w:val="nil"/>
              <w:left w:val="nil"/>
              <w:bottom w:val="nil"/>
              <w:right w:val="nil"/>
            </w:tcBorders>
            <w:shd w:val="clear" w:color="auto" w:fill="auto"/>
            <w:vAlign w:val="center"/>
          </w:tcPr>
          <w:p>
            <w:pPr>
              <w:spacing w:before="0"/>
              <w:jc w:val="center"/>
              <w:rPr>
                <w:rFonts w:ascii="黑体" w:hAnsi="黑体" w:eastAsia="黑体" w:cs="宋体"/>
                <w:sz w:val="44"/>
                <w:szCs w:val="44"/>
              </w:rPr>
            </w:pPr>
          </w:p>
        </w:tc>
      </w:tr>
      <w:tr>
        <w:tblPrEx>
          <w:tblLayout w:type="fixed"/>
          <w:tblCellMar>
            <w:top w:w="0" w:type="dxa"/>
            <w:left w:w="108" w:type="dxa"/>
            <w:bottom w:w="0" w:type="dxa"/>
            <w:right w:w="108" w:type="dxa"/>
          </w:tblCellMar>
        </w:tblPrEx>
        <w:trPr>
          <w:trHeight w:val="26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s="宋体"/>
                <w:b/>
                <w:bCs/>
                <w:sz w:val="21"/>
                <w:szCs w:val="21"/>
              </w:rPr>
            </w:pPr>
            <w:r>
              <w:rPr>
                <w:rFonts w:hint="eastAsia" w:ascii="宋体" w:hAnsi="宋体" w:eastAsia="宋体" w:cs="宋体"/>
                <w:b/>
                <w:bCs/>
                <w:sz w:val="21"/>
                <w:szCs w:val="21"/>
              </w:rPr>
              <w:t>工作任务</w:t>
            </w:r>
          </w:p>
        </w:tc>
        <w:tc>
          <w:tcPr>
            <w:tcW w:w="893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s="宋体"/>
                <w:b/>
                <w:bCs/>
                <w:sz w:val="21"/>
                <w:szCs w:val="21"/>
              </w:rPr>
            </w:pPr>
            <w:r>
              <w:rPr>
                <w:rFonts w:hint="eastAsia" w:ascii="宋体" w:hAnsi="宋体" w:eastAsia="宋体" w:cs="宋体"/>
                <w:b/>
                <w:bCs/>
                <w:sz w:val="21"/>
                <w:szCs w:val="21"/>
              </w:rPr>
              <w:t>具体内容</w:t>
            </w:r>
          </w:p>
        </w:tc>
        <w:tc>
          <w:tcPr>
            <w:tcW w:w="1134" w:type="dxa"/>
            <w:tcBorders>
              <w:top w:val="single" w:color="auto" w:sz="4" w:space="0"/>
              <w:left w:val="nil"/>
              <w:bottom w:val="single" w:color="auto" w:sz="4" w:space="0"/>
              <w:right w:val="nil"/>
            </w:tcBorders>
            <w:shd w:val="clear" w:color="auto" w:fill="auto"/>
            <w:vAlign w:val="center"/>
          </w:tcPr>
          <w:p>
            <w:pPr>
              <w:spacing w:line="240" w:lineRule="auto"/>
              <w:jc w:val="center"/>
              <w:rPr>
                <w:rFonts w:ascii="宋体" w:hAnsi="宋体" w:eastAsia="宋体" w:cs="宋体"/>
                <w:b/>
                <w:bCs/>
                <w:sz w:val="21"/>
                <w:szCs w:val="21"/>
              </w:rPr>
            </w:pPr>
            <w:r>
              <w:rPr>
                <w:rFonts w:hint="eastAsia" w:ascii="宋体" w:hAnsi="宋体" w:eastAsia="宋体" w:cs="宋体"/>
                <w:b/>
                <w:bCs/>
                <w:sz w:val="21"/>
                <w:szCs w:val="21"/>
              </w:rPr>
              <w:t>牵头单位</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配合单位</w:t>
            </w:r>
          </w:p>
        </w:tc>
      </w:tr>
      <w:tr>
        <w:tblPrEx>
          <w:tblLayout w:type="fixed"/>
          <w:tblCellMar>
            <w:top w:w="0" w:type="dxa"/>
            <w:left w:w="108" w:type="dxa"/>
            <w:bottom w:w="0" w:type="dxa"/>
            <w:right w:w="108" w:type="dxa"/>
          </w:tblCellMar>
        </w:tblPrEx>
        <w:trPr>
          <w:trHeight w:val="362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1</w:t>
            </w:r>
          </w:p>
        </w:tc>
        <w:tc>
          <w:tcPr>
            <w:tcW w:w="1134" w:type="dxa"/>
            <w:vMerge w:val="restart"/>
            <w:tcBorders>
              <w:top w:val="nil"/>
              <w:left w:val="single" w:color="auto" w:sz="4" w:space="0"/>
              <w:right w:val="single" w:color="auto" w:sz="4" w:space="0"/>
            </w:tcBorders>
            <w:shd w:val="clear" w:color="auto" w:fill="auto"/>
            <w:vAlign w:val="center"/>
          </w:tcPr>
          <w:p>
            <w:pPr>
              <w:spacing w:line="240" w:lineRule="auto"/>
              <w:jc w:val="center"/>
              <w:rPr>
                <w:rFonts w:ascii="黑体" w:hAnsi="黑体" w:eastAsia="黑体" w:cs="宋体"/>
                <w:sz w:val="21"/>
                <w:szCs w:val="21"/>
              </w:rPr>
            </w:pPr>
            <w:r>
              <w:rPr>
                <w:rFonts w:hint="eastAsia" w:ascii="黑体" w:hAnsi="黑体" w:eastAsia="黑体" w:cs="宋体"/>
                <w:sz w:val="21"/>
                <w:szCs w:val="21"/>
              </w:rPr>
              <w:t>强化前期策划</w:t>
            </w:r>
          </w:p>
        </w:tc>
        <w:tc>
          <w:tcPr>
            <w:tcW w:w="8930"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s="宋体"/>
                <w:color w:val="000000"/>
                <w:sz w:val="21"/>
                <w:szCs w:val="21"/>
              </w:rPr>
            </w:pPr>
            <w:r>
              <w:rPr>
                <w:rFonts w:hint="eastAsia" w:ascii="宋体" w:hAnsi="宋体" w:eastAsia="宋体" w:cs="宋体"/>
                <w:sz w:val="21"/>
                <w:szCs w:val="21"/>
              </w:rPr>
              <w:t>强化“多规合一”信息联动平台建设运用。建立环境保护、文物保护、综合交通、水资源、文化旅游、社会事业、综合管线、人民防空等规划融合的</w:t>
            </w:r>
            <w:bookmarkStart w:id="1" w:name="_Hlk525852110"/>
            <w:r>
              <w:rPr>
                <w:rFonts w:hint="eastAsia" w:ascii="宋体" w:hAnsi="宋体" w:eastAsia="宋体" w:cs="宋体"/>
                <w:sz w:val="21"/>
                <w:szCs w:val="21"/>
              </w:rPr>
              <w:t>“多规合一”信息联动平台</w:t>
            </w:r>
            <w:bookmarkEnd w:id="1"/>
            <w:r>
              <w:rPr>
                <w:rFonts w:hint="eastAsia" w:ascii="宋体" w:hAnsi="宋体" w:eastAsia="宋体" w:cs="宋体"/>
                <w:sz w:val="21"/>
                <w:szCs w:val="21"/>
              </w:rPr>
              <w:t>，统筹利用“多规合一”成果，构建定位清晰、功能互补、统一衔接的多规划协调机制。整合国土、规划信息，建立以控制性详细规划为基础，统筹布局各类专项设施用地的“一张图”平台，并通过信息联动、开放共享，实现国土规划与相关专项规划的空间管理平台合一，形成全市各部门信息共享的城市建设信息联动平台。对通过“多规合一”信息联动平台纳入年度政府投资项目计划的，可先行立项，开展项目前期工作。</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市规划局</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18"/>
                <w:szCs w:val="18"/>
              </w:rPr>
            </w:pPr>
            <w:r>
              <w:rPr>
                <w:rFonts w:hint="eastAsia" w:ascii="宋体" w:hAnsi="宋体" w:eastAsia="宋体" w:cs="宋体"/>
                <w:sz w:val="21"/>
                <w:szCs w:val="21"/>
              </w:rPr>
              <w:t>市发改委、市国土局、市经信委、市建委、市交通委、市名城委、市城管委、市卫计委、市环保局、市林业局、市海洋渔业局、市水利局、市交警支队、市消防支队、市园林局、市文物局、市文广新局、市教育局、市民政局、市工商局、市邮政局、市人防办、市港口管理局、市地铁公司、市铁轨办、福州供电公司、市联排联调中心、属地政府、高新区管委会、片区管理机构</w:t>
            </w:r>
          </w:p>
        </w:tc>
      </w:tr>
      <w:tr>
        <w:tblPrEx>
          <w:tblLayout w:type="fixed"/>
          <w:tblCellMar>
            <w:top w:w="0" w:type="dxa"/>
            <w:left w:w="108" w:type="dxa"/>
            <w:bottom w:w="0" w:type="dxa"/>
            <w:right w:w="108" w:type="dxa"/>
          </w:tblCellMar>
        </w:tblPrEx>
        <w:trPr>
          <w:trHeight w:val="169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2</w:t>
            </w:r>
          </w:p>
        </w:tc>
        <w:tc>
          <w:tcPr>
            <w:tcW w:w="1134" w:type="dxa"/>
            <w:vMerge w:val="continue"/>
            <w:tcBorders>
              <w:left w:val="single" w:color="auto" w:sz="4" w:space="0"/>
              <w:bottom w:val="single" w:color="auto" w:sz="4" w:space="0"/>
              <w:right w:val="single" w:color="auto" w:sz="4" w:space="0"/>
            </w:tcBorders>
            <w:vAlign w:val="center"/>
          </w:tcPr>
          <w:p>
            <w:pPr>
              <w:spacing w:line="240" w:lineRule="auto"/>
              <w:rPr>
                <w:rFonts w:ascii="黑体" w:hAnsi="黑体" w:eastAsia="黑体" w:cs="宋体"/>
                <w:sz w:val="21"/>
                <w:szCs w:val="21"/>
              </w:rPr>
            </w:pPr>
          </w:p>
        </w:tc>
        <w:tc>
          <w:tcPr>
            <w:tcW w:w="8930"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s="宋体"/>
                <w:color w:val="000000"/>
                <w:sz w:val="21"/>
                <w:szCs w:val="21"/>
              </w:rPr>
            </w:pPr>
          </w:p>
          <w:p>
            <w:pPr>
              <w:spacing w:line="240" w:lineRule="auto"/>
              <w:rPr>
                <w:rFonts w:ascii="宋体" w:hAnsi="宋体" w:eastAsia="宋体" w:cs="宋体"/>
                <w:color w:val="000000"/>
                <w:sz w:val="21"/>
                <w:szCs w:val="21"/>
              </w:rPr>
            </w:pPr>
            <w:r>
              <w:rPr>
                <w:rFonts w:hint="eastAsia" w:ascii="宋体" w:hAnsi="宋体" w:eastAsia="宋体" w:cs="宋体"/>
                <w:color w:val="000000"/>
                <w:sz w:val="21"/>
                <w:szCs w:val="21"/>
              </w:rPr>
              <w:t>加强项目策划生成。依托“多规合一”信息联动平台，</w:t>
            </w:r>
            <w:r>
              <w:rPr>
                <w:rFonts w:hint="eastAsia" w:ascii="宋体" w:hAnsi="宋体" w:eastAsia="宋体" w:cs="宋体"/>
                <w:sz w:val="21"/>
                <w:szCs w:val="21"/>
              </w:rPr>
              <w:t>对于政府投资房建类、市政类项目和社会投资项目，</w:t>
            </w:r>
            <w:r>
              <w:rPr>
                <w:rFonts w:hint="eastAsia" w:ascii="宋体" w:hAnsi="宋体" w:eastAsia="宋体" w:cs="宋体"/>
                <w:color w:val="000000"/>
                <w:sz w:val="21"/>
                <w:szCs w:val="21"/>
              </w:rPr>
              <w:t>按照“规划统筹”和“统筹规划”原则，按照项目3年滚动要求安排项目前期经费，开展项目所涉及各部门的相关规范规定的前期论证评估，生成项目并编制项目实施计划。此类项目一旦确定项目业主，直接办理立项、用地预审、用地规划许可、施工许可。经策划生成的项目，在审批阶段不允许擅自改变建设条件。</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市发改委</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市规划局、市国土局、市财政局</w:t>
            </w:r>
          </w:p>
        </w:tc>
      </w:tr>
      <w:tr>
        <w:tblPrEx>
          <w:tblLayout w:type="fixed"/>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b/>
                <w:bCs/>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b/>
                <w:bCs/>
                <w:sz w:val="21"/>
                <w:szCs w:val="21"/>
              </w:rPr>
            </w:pPr>
            <w:r>
              <w:rPr>
                <w:rFonts w:hint="eastAsia" w:ascii="宋体" w:hAnsi="宋体" w:eastAsia="宋体" w:cs="宋体"/>
                <w:b/>
                <w:bCs/>
                <w:sz w:val="21"/>
                <w:szCs w:val="21"/>
              </w:rPr>
              <w:t>工作任务</w:t>
            </w:r>
          </w:p>
        </w:tc>
        <w:tc>
          <w:tcPr>
            <w:tcW w:w="893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s="宋体"/>
                <w:color w:val="000000"/>
                <w:sz w:val="21"/>
                <w:szCs w:val="21"/>
              </w:rPr>
            </w:pPr>
            <w:r>
              <w:rPr>
                <w:rFonts w:hint="eastAsia" w:ascii="宋体" w:hAnsi="宋体" w:eastAsia="宋体" w:cs="宋体"/>
                <w:b/>
                <w:bCs/>
                <w:sz w:val="21"/>
                <w:szCs w:val="21"/>
              </w:rPr>
              <w:t>具体内容</w:t>
            </w:r>
          </w:p>
        </w:tc>
        <w:tc>
          <w:tcPr>
            <w:tcW w:w="1134" w:type="dxa"/>
            <w:tcBorders>
              <w:top w:val="single" w:color="auto" w:sz="4" w:space="0"/>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b/>
                <w:bCs/>
                <w:sz w:val="21"/>
                <w:szCs w:val="21"/>
              </w:rPr>
              <w:t>牵头单位</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b/>
                <w:bCs/>
                <w:color w:val="000000"/>
                <w:sz w:val="21"/>
                <w:szCs w:val="21"/>
              </w:rPr>
              <w:t>配合单位</w:t>
            </w:r>
          </w:p>
        </w:tc>
      </w:tr>
      <w:tr>
        <w:tblPrEx>
          <w:tblLayout w:type="fixed"/>
          <w:tblCellMar>
            <w:top w:w="0" w:type="dxa"/>
            <w:left w:w="108" w:type="dxa"/>
            <w:bottom w:w="0" w:type="dxa"/>
            <w:right w:w="108" w:type="dxa"/>
          </w:tblCellMar>
        </w:tblPrEx>
        <w:trPr>
          <w:trHeight w:val="1833"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b/>
                <w:bCs/>
                <w:sz w:val="21"/>
                <w:szCs w:val="21"/>
              </w:rPr>
            </w:pPr>
            <w:r>
              <w:rPr>
                <w:rFonts w:hint="eastAsia" w:ascii="宋体" w:hAnsi="宋体" w:eastAsia="宋体" w:cs="宋体"/>
                <w:sz w:val="21"/>
                <w:szCs w:val="21"/>
              </w:rPr>
              <w:t>3</w:t>
            </w:r>
          </w:p>
        </w:tc>
        <w:tc>
          <w:tcPr>
            <w:tcW w:w="1134" w:type="dxa"/>
            <w:vMerge w:val="restart"/>
            <w:tcBorders>
              <w:top w:val="single" w:color="auto" w:sz="4" w:space="0"/>
              <w:left w:val="single" w:color="auto" w:sz="4" w:space="0"/>
              <w:right w:val="single" w:color="auto" w:sz="4" w:space="0"/>
            </w:tcBorders>
            <w:vAlign w:val="center"/>
          </w:tcPr>
          <w:p>
            <w:pPr>
              <w:spacing w:line="240" w:lineRule="auto"/>
              <w:jc w:val="center"/>
              <w:rPr>
                <w:rFonts w:ascii="黑体" w:hAnsi="黑体" w:eastAsia="黑体" w:cs="宋体"/>
                <w:sz w:val="21"/>
                <w:szCs w:val="21"/>
              </w:rPr>
            </w:pPr>
            <w:r>
              <w:rPr>
                <w:rFonts w:hint="eastAsia" w:ascii="黑体" w:hAnsi="黑体" w:eastAsia="黑体" w:cs="宋体"/>
                <w:sz w:val="21"/>
                <w:szCs w:val="21"/>
              </w:rPr>
              <w:t>强化前期策划</w:t>
            </w:r>
          </w:p>
        </w:tc>
        <w:tc>
          <w:tcPr>
            <w:tcW w:w="8930"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宋体" w:hAnsi="宋体" w:eastAsia="宋体" w:cs="宋体"/>
                <w:b/>
                <w:bCs/>
                <w:sz w:val="21"/>
                <w:szCs w:val="21"/>
              </w:rPr>
            </w:pPr>
            <w:r>
              <w:rPr>
                <w:rFonts w:hint="eastAsia" w:ascii="宋体" w:hAnsi="宋体" w:eastAsia="宋体" w:cs="宋体"/>
                <w:sz w:val="21"/>
                <w:szCs w:val="21"/>
              </w:rPr>
              <w:t>推行“多评合一”。建立项目评估联合审查机制，整合项目审批（核准、备案）所涉及的可行性研究报告(项目申请报告)、节能报告、社会稳定风险评估报告、安全预评价报告、地质灾害危险性评估报告等评估审查事项，实行“统一受理、统一评估、统一评审”的服务新模式，将各项目评估关键指标要素整合为一表，由发改部门牵头各相关审批部门实行统一受理、统一对有关评估关键指标要素组织审查，提高投资项目评估审查效率。</w:t>
            </w:r>
          </w:p>
        </w:tc>
        <w:tc>
          <w:tcPr>
            <w:tcW w:w="1134" w:type="dxa"/>
            <w:tcBorders>
              <w:top w:val="single" w:color="auto" w:sz="4" w:space="0"/>
              <w:left w:val="nil"/>
              <w:bottom w:val="single" w:color="auto" w:sz="4" w:space="0"/>
              <w:right w:val="nil"/>
            </w:tcBorders>
            <w:shd w:val="clear" w:color="auto" w:fill="auto"/>
            <w:vAlign w:val="center"/>
          </w:tcPr>
          <w:p>
            <w:pPr>
              <w:spacing w:line="240" w:lineRule="auto"/>
              <w:jc w:val="center"/>
              <w:rPr>
                <w:rFonts w:ascii="宋体" w:hAnsi="宋体" w:eastAsia="宋体" w:cs="宋体"/>
                <w:b/>
                <w:bCs/>
                <w:sz w:val="21"/>
                <w:szCs w:val="21"/>
              </w:rPr>
            </w:pPr>
            <w:r>
              <w:rPr>
                <w:rFonts w:hint="eastAsia" w:ascii="宋体" w:hAnsi="宋体" w:eastAsia="宋体" w:cs="宋体"/>
                <w:sz w:val="21"/>
                <w:szCs w:val="21"/>
              </w:rPr>
              <w:t>市发改委</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b/>
                <w:bCs/>
                <w:color w:val="000000"/>
                <w:sz w:val="21"/>
                <w:szCs w:val="21"/>
              </w:rPr>
            </w:pPr>
            <w:r>
              <w:rPr>
                <w:rFonts w:hint="eastAsia" w:ascii="宋体" w:hAnsi="宋体" w:eastAsia="宋体" w:cs="宋体"/>
                <w:color w:val="000000"/>
                <w:sz w:val="21"/>
                <w:szCs w:val="21"/>
              </w:rPr>
              <w:t>各工程咨询单位</w:t>
            </w:r>
          </w:p>
        </w:tc>
      </w:tr>
      <w:tr>
        <w:tblPrEx>
          <w:tblLayout w:type="fixed"/>
          <w:tblCellMar>
            <w:top w:w="0" w:type="dxa"/>
            <w:left w:w="108" w:type="dxa"/>
            <w:bottom w:w="0" w:type="dxa"/>
            <w:right w:w="108" w:type="dxa"/>
          </w:tblCellMar>
        </w:tblPrEx>
        <w:trPr>
          <w:trHeight w:val="133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4</w:t>
            </w:r>
          </w:p>
        </w:tc>
        <w:tc>
          <w:tcPr>
            <w:tcW w:w="1134" w:type="dxa"/>
            <w:vMerge w:val="continue"/>
            <w:tcBorders>
              <w:left w:val="single" w:color="auto" w:sz="4" w:space="0"/>
              <w:right w:val="single" w:color="auto" w:sz="4" w:space="0"/>
            </w:tcBorders>
            <w:vAlign w:val="center"/>
          </w:tcPr>
          <w:p>
            <w:pPr>
              <w:spacing w:line="240" w:lineRule="auto"/>
              <w:jc w:val="center"/>
              <w:rPr>
                <w:rFonts w:ascii="黑体" w:hAnsi="黑体" w:eastAsia="黑体" w:cs="宋体"/>
                <w:sz w:val="21"/>
                <w:szCs w:val="21"/>
              </w:rPr>
            </w:pPr>
          </w:p>
        </w:tc>
        <w:tc>
          <w:tcPr>
            <w:tcW w:w="8930"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宋体" w:hAnsi="宋体" w:eastAsia="宋体" w:cs="宋体"/>
                <w:color w:val="000000"/>
                <w:sz w:val="21"/>
                <w:szCs w:val="21"/>
              </w:rPr>
            </w:pPr>
            <w:r>
              <w:rPr>
                <w:rFonts w:hint="eastAsia" w:ascii="宋体" w:hAnsi="宋体" w:eastAsia="宋体" w:cs="宋体"/>
                <w:color w:val="000000"/>
                <w:sz w:val="21"/>
                <w:szCs w:val="21"/>
              </w:rPr>
              <w:t>开展区域综合评估。在开发区、产业园区等功能区或其他特定区域，将原来需由企业分头进行的生产建设项目水土保持方案审批、文物保护单位原址保护或修缮审批、洪水影响评价类审批、组织气候可行性论证、建设项目环境影响评价文件审批等各类评估评审事项，改为由片区管理机构牵头组织，按区域开展综合评估。对成片或专项开发的共性审批事项已完成统一规划、区域评估的，可依法以规划文件、区域评估成果代替具体投资项目评审，或相应简化项目评估内容和形式。区域内工程建设项目共享区域评估结果，无需单独评估，将建设项目评估评审由单体把关转变为整体把关、申请后评估转变为申请前服务。</w:t>
            </w:r>
          </w:p>
        </w:tc>
        <w:tc>
          <w:tcPr>
            <w:tcW w:w="1134" w:type="dxa"/>
            <w:tcBorders>
              <w:top w:val="single" w:color="auto" w:sz="4" w:space="0"/>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片区管理机构</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水利、文物、气象、环保等评估事项责任部门</w:t>
            </w:r>
          </w:p>
        </w:tc>
      </w:tr>
      <w:tr>
        <w:tblPrEx>
          <w:tblLayout w:type="fixed"/>
          <w:tblCellMar>
            <w:top w:w="0" w:type="dxa"/>
            <w:left w:w="108" w:type="dxa"/>
            <w:bottom w:w="0" w:type="dxa"/>
            <w:right w:w="108" w:type="dxa"/>
          </w:tblCellMar>
        </w:tblPrEx>
        <w:trPr>
          <w:trHeight w:val="113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5</w:t>
            </w:r>
          </w:p>
        </w:tc>
        <w:tc>
          <w:tcPr>
            <w:tcW w:w="1134" w:type="dxa"/>
            <w:vMerge w:val="continue"/>
            <w:tcBorders>
              <w:left w:val="single" w:color="auto" w:sz="4" w:space="0"/>
              <w:bottom w:val="single" w:color="auto" w:sz="4" w:space="0"/>
              <w:right w:val="single" w:color="auto" w:sz="4" w:space="0"/>
            </w:tcBorders>
            <w:vAlign w:val="center"/>
          </w:tcPr>
          <w:p>
            <w:pPr>
              <w:spacing w:line="240" w:lineRule="auto"/>
              <w:rPr>
                <w:rFonts w:ascii="黑体" w:hAnsi="黑体" w:eastAsia="黑体" w:cs="宋体"/>
                <w:sz w:val="21"/>
                <w:szCs w:val="21"/>
              </w:rPr>
            </w:pPr>
          </w:p>
        </w:tc>
        <w:tc>
          <w:tcPr>
            <w:tcW w:w="8930"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s="宋体"/>
                <w:color w:val="000000"/>
                <w:sz w:val="21"/>
                <w:szCs w:val="21"/>
              </w:rPr>
            </w:pPr>
            <w:r>
              <w:rPr>
                <w:rFonts w:hint="eastAsia" w:ascii="宋体" w:hAnsi="宋体" w:eastAsia="宋体" w:cs="宋体"/>
                <w:color w:val="000000"/>
                <w:sz w:val="21"/>
                <w:szCs w:val="21"/>
              </w:rPr>
              <w:t>土地出让后先行开展技术审查。土地出让合同约定分期缴纳土地价款的，在第一期土地价款缴纳后，受让人凭第一期土地价款的缴款凭证可申请先行开展后续相关审批的技术审查，各相关部门应予以办理。</w:t>
            </w:r>
            <w:r>
              <w:rPr>
                <w:rFonts w:hint="eastAsia" w:ascii="宋体" w:hAnsi="宋体" w:eastAsia="宋体" w:cs="宋体"/>
                <w:i/>
                <w:iCs/>
                <w:color w:val="000000"/>
                <w:sz w:val="21"/>
                <w:szCs w:val="21"/>
              </w:rPr>
              <w:t xml:space="preserve"> </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市国土局</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市环保局、市水利局</w:t>
            </w:r>
          </w:p>
        </w:tc>
      </w:tr>
      <w:tr>
        <w:tblPrEx>
          <w:tblLayout w:type="fixed"/>
          <w:tblCellMar>
            <w:top w:w="0" w:type="dxa"/>
            <w:left w:w="108" w:type="dxa"/>
            <w:bottom w:w="0" w:type="dxa"/>
            <w:right w:w="108" w:type="dxa"/>
          </w:tblCellMar>
        </w:tblPrEx>
        <w:trPr>
          <w:trHeight w:val="130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6</w:t>
            </w:r>
          </w:p>
        </w:tc>
        <w:tc>
          <w:tcPr>
            <w:tcW w:w="1134" w:type="dxa"/>
            <w:vMerge w:val="restart"/>
            <w:tcBorders>
              <w:top w:val="nil"/>
              <w:left w:val="single" w:color="auto" w:sz="4" w:space="0"/>
              <w:right w:val="single" w:color="auto" w:sz="4" w:space="0"/>
            </w:tcBorders>
            <w:shd w:val="clear" w:color="auto" w:fill="auto"/>
            <w:vAlign w:val="center"/>
          </w:tcPr>
          <w:p>
            <w:pPr>
              <w:spacing w:line="240" w:lineRule="auto"/>
              <w:jc w:val="center"/>
              <w:rPr>
                <w:rFonts w:ascii="黑体" w:hAnsi="黑体" w:eastAsia="黑体" w:cs="宋体"/>
                <w:sz w:val="21"/>
                <w:szCs w:val="21"/>
              </w:rPr>
            </w:pPr>
            <w:r>
              <w:rPr>
                <w:rFonts w:hint="eastAsia" w:ascii="黑体" w:hAnsi="黑体" w:eastAsia="黑体" w:cs="宋体"/>
                <w:sz w:val="21"/>
                <w:szCs w:val="21"/>
              </w:rPr>
              <w:t>再造审批流程</w:t>
            </w:r>
          </w:p>
        </w:tc>
        <w:tc>
          <w:tcPr>
            <w:tcW w:w="8930"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s="宋体"/>
                <w:color w:val="000000"/>
                <w:sz w:val="21"/>
                <w:szCs w:val="21"/>
              </w:rPr>
            </w:pPr>
            <w:r>
              <w:rPr>
                <w:rFonts w:hint="eastAsia" w:ascii="宋体" w:hAnsi="宋体" w:eastAsia="宋体" w:cs="宋体"/>
                <w:color w:val="000000"/>
                <w:sz w:val="21"/>
                <w:szCs w:val="21"/>
              </w:rPr>
              <w:t>根据工程建设项目类型、投资类别</w:t>
            </w:r>
            <w:r>
              <w:rPr>
                <w:rFonts w:hint="eastAsia" w:ascii="宋体" w:hAnsi="宋体" w:eastAsia="宋体" w:cs="宋体"/>
                <w:sz w:val="21"/>
                <w:szCs w:val="21"/>
              </w:rPr>
              <w:t>、规模大小等，将福州市投资项目分为政府投资房建类项目、政府投资市政类项目、社会投资项目、小型工程建设项目(建筑面积不大于5000平方米、建筑高度不大于8米、功能单一、技术要求简单的建设项目及小型市政公用工程项目)，实施分类管理。</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市建委、市行政（市民）服务中心管委会</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市发改委、市规划局</w:t>
            </w:r>
          </w:p>
        </w:tc>
      </w:tr>
      <w:tr>
        <w:tblPrEx>
          <w:tblLayout w:type="fixed"/>
          <w:tblCellMar>
            <w:top w:w="0" w:type="dxa"/>
            <w:left w:w="108" w:type="dxa"/>
            <w:bottom w:w="0" w:type="dxa"/>
            <w:right w:w="108" w:type="dxa"/>
          </w:tblCellMar>
        </w:tblPrEx>
        <w:trPr>
          <w:trHeight w:val="183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7</w:t>
            </w:r>
          </w:p>
        </w:tc>
        <w:tc>
          <w:tcPr>
            <w:tcW w:w="1134" w:type="dxa"/>
            <w:vMerge w:val="continue"/>
            <w:tcBorders>
              <w:left w:val="single" w:color="auto" w:sz="4" w:space="0"/>
              <w:bottom w:val="single" w:color="auto" w:sz="4" w:space="0"/>
              <w:right w:val="single" w:color="auto" w:sz="4" w:space="0"/>
            </w:tcBorders>
            <w:vAlign w:val="center"/>
          </w:tcPr>
          <w:p>
            <w:pPr>
              <w:spacing w:line="240" w:lineRule="auto"/>
              <w:rPr>
                <w:rFonts w:ascii="黑体" w:hAnsi="黑体" w:eastAsia="黑体" w:cs="宋体"/>
                <w:sz w:val="21"/>
                <w:szCs w:val="21"/>
              </w:rPr>
            </w:pPr>
          </w:p>
        </w:tc>
        <w:tc>
          <w:tcPr>
            <w:tcW w:w="8930"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s="宋体"/>
                <w:sz w:val="21"/>
                <w:szCs w:val="21"/>
              </w:rPr>
            </w:pPr>
            <w:r>
              <w:rPr>
                <w:rFonts w:hint="eastAsia" w:ascii="宋体" w:hAnsi="宋体" w:eastAsia="宋体" w:cs="宋体"/>
                <w:sz w:val="21"/>
                <w:szCs w:val="21"/>
              </w:rPr>
              <w:t>优化并联审批阶段，将社会投资项目、政府投资房建类、市政类项目审批流程主要划分为立项用地规划许可、工程建设许可、施工许可、竣工验收等四个并联审批阶段；将小型工程建设项目审批流程主要划分为立项用地规划许可、工程建设许可和施工许可并联审批阶段、竣工验收阶段等三个审批阶段。</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市建委、市行政（市民）服务中心管委会</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市发改委、市规划局</w:t>
            </w:r>
          </w:p>
        </w:tc>
      </w:tr>
      <w:tr>
        <w:tblPrEx>
          <w:tblLayout w:type="fixed"/>
          <w:tblCellMar>
            <w:top w:w="0" w:type="dxa"/>
            <w:left w:w="108" w:type="dxa"/>
            <w:bottom w:w="0" w:type="dxa"/>
            <w:right w:w="108" w:type="dxa"/>
          </w:tblCellMar>
        </w:tblPrEx>
        <w:trPr>
          <w:trHeight w:val="812"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b/>
                <w:bCs/>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黑体" w:hAnsi="黑体" w:eastAsia="黑体" w:cs="宋体"/>
                <w:sz w:val="21"/>
                <w:szCs w:val="21"/>
              </w:rPr>
            </w:pPr>
            <w:r>
              <w:rPr>
                <w:rFonts w:hint="eastAsia" w:ascii="宋体" w:hAnsi="宋体" w:eastAsia="宋体" w:cs="宋体"/>
                <w:b/>
                <w:bCs/>
                <w:sz w:val="21"/>
                <w:szCs w:val="21"/>
              </w:rPr>
              <w:t>工作任务</w:t>
            </w:r>
          </w:p>
        </w:tc>
        <w:tc>
          <w:tcPr>
            <w:tcW w:w="8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b/>
                <w:bCs/>
                <w:sz w:val="21"/>
                <w:szCs w:val="21"/>
              </w:rPr>
              <w:t>具体内容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b/>
                <w:bCs/>
                <w:sz w:val="21"/>
                <w:szCs w:val="21"/>
              </w:rPr>
              <w:t>牵头单位</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b/>
                <w:bCs/>
                <w:color w:val="000000"/>
                <w:sz w:val="21"/>
                <w:szCs w:val="21"/>
              </w:rPr>
              <w:t>配合单位</w:t>
            </w:r>
          </w:p>
        </w:tc>
      </w:tr>
      <w:tr>
        <w:tblPrEx>
          <w:tblLayout w:type="fixed"/>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8</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黑体" w:hAnsi="黑体" w:eastAsia="黑体" w:cs="宋体"/>
                <w:sz w:val="21"/>
                <w:szCs w:val="21"/>
              </w:rPr>
            </w:pPr>
            <w:r>
              <w:rPr>
                <w:rFonts w:hint="eastAsia" w:ascii="黑体" w:hAnsi="黑体" w:eastAsia="黑体" w:cs="宋体"/>
                <w:sz w:val="21"/>
                <w:szCs w:val="21"/>
              </w:rPr>
              <w:t>再造审批流程</w:t>
            </w:r>
          </w:p>
        </w:tc>
        <w:tc>
          <w:tcPr>
            <w:tcW w:w="8930"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宋体" w:hAnsi="宋体" w:eastAsia="宋体" w:cs="宋体"/>
                <w:sz w:val="21"/>
                <w:szCs w:val="21"/>
              </w:rPr>
            </w:pPr>
            <w:r>
              <w:rPr>
                <w:rFonts w:hint="eastAsia" w:ascii="宋体" w:hAnsi="宋体" w:eastAsia="宋体" w:cs="宋体"/>
                <w:sz w:val="21"/>
                <w:szCs w:val="21"/>
              </w:rPr>
              <w:t>全流程的建设管理审批服务压减至90个工作日内完成（政府投资市政类项目90个工作日内、政府投资房建类80个工作日内、社会投资项目70个工作日内、小型工程建设项目50个工作日内）。涉及的公用服务和中介服务事项纳入相关阶段办理或与相关阶段并行推进。</w:t>
            </w:r>
          </w:p>
        </w:tc>
        <w:tc>
          <w:tcPr>
            <w:tcW w:w="1134" w:type="dxa"/>
            <w:tcBorders>
              <w:top w:val="single" w:color="auto" w:sz="4" w:space="0"/>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市建委、市行政（市民）服务中心管委会、市发改委、市规划局</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“办理建设许可组”各成员单位</w:t>
            </w:r>
          </w:p>
        </w:tc>
      </w:tr>
      <w:tr>
        <w:tblPrEx>
          <w:tblLayout w:type="fixed"/>
          <w:tblCellMar>
            <w:top w:w="0" w:type="dxa"/>
            <w:left w:w="108" w:type="dxa"/>
            <w:bottom w:w="0" w:type="dxa"/>
            <w:right w:w="108" w:type="dxa"/>
          </w:tblCellMar>
        </w:tblPrEx>
        <w:trPr>
          <w:trHeight w:val="104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9</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黑体" w:hAnsi="黑体" w:eastAsia="黑体" w:cs="宋体"/>
                <w:sz w:val="21"/>
                <w:szCs w:val="21"/>
              </w:rPr>
            </w:pPr>
          </w:p>
        </w:tc>
        <w:tc>
          <w:tcPr>
            <w:tcW w:w="8930"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宋体" w:hAnsi="宋体" w:eastAsia="宋体" w:cs="宋体"/>
                <w:color w:val="000000"/>
                <w:sz w:val="21"/>
                <w:szCs w:val="21"/>
              </w:rPr>
            </w:pPr>
            <w:r>
              <w:rPr>
                <w:rFonts w:hint="eastAsia" w:ascii="宋体" w:hAnsi="宋体" w:eastAsia="宋体" w:cs="宋体"/>
                <w:color w:val="000000"/>
                <w:sz w:val="21"/>
                <w:szCs w:val="21"/>
              </w:rPr>
              <w:t>该阶段由发改部门牵头，建设管理审批事项主要包括项目审批核准备案、选址意见书核发、用地预审、用地规划许可等。社会投资项目2个工作日内办结，政府投资房建类8个工作日内办结，政府投资市政类项目10个工作日内办结。</w:t>
            </w:r>
          </w:p>
        </w:tc>
        <w:tc>
          <w:tcPr>
            <w:tcW w:w="1134" w:type="dxa"/>
            <w:tcBorders>
              <w:top w:val="single" w:color="auto" w:sz="4" w:space="0"/>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市发改委</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市规划局、市国土局、该阶段其他事项责任单位</w:t>
            </w:r>
          </w:p>
        </w:tc>
      </w:tr>
      <w:tr>
        <w:tblPrEx>
          <w:tblLayout w:type="fixed"/>
          <w:tblCellMar>
            <w:top w:w="0" w:type="dxa"/>
            <w:left w:w="108" w:type="dxa"/>
            <w:bottom w:w="0" w:type="dxa"/>
            <w:right w:w="108" w:type="dxa"/>
          </w:tblCellMar>
        </w:tblPrEx>
        <w:trPr>
          <w:trHeight w:val="302"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10</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黑体" w:hAnsi="黑体" w:eastAsia="黑体" w:cs="宋体"/>
                <w:sz w:val="21"/>
                <w:szCs w:val="21"/>
              </w:rPr>
            </w:pPr>
          </w:p>
        </w:tc>
        <w:tc>
          <w:tcPr>
            <w:tcW w:w="8930"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宋体" w:hAnsi="宋体" w:eastAsia="宋体" w:cs="宋体"/>
                <w:color w:val="000000"/>
                <w:sz w:val="21"/>
                <w:szCs w:val="21"/>
              </w:rPr>
            </w:pPr>
            <w:r>
              <w:rPr>
                <w:rFonts w:hint="eastAsia" w:ascii="宋体" w:hAnsi="宋体" w:eastAsia="宋体" w:cs="宋体"/>
                <w:color w:val="000000"/>
                <w:sz w:val="21"/>
                <w:szCs w:val="21"/>
              </w:rPr>
              <w:t>取消公开出让的经营性房地产项目、工业项目的“用地预审”事项。</w:t>
            </w:r>
          </w:p>
        </w:tc>
        <w:tc>
          <w:tcPr>
            <w:tcW w:w="1134" w:type="dxa"/>
            <w:tcBorders>
              <w:top w:val="single" w:color="auto" w:sz="4" w:space="0"/>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57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11</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黑体" w:hAnsi="黑体" w:eastAsia="黑体" w:cs="宋体"/>
                <w:sz w:val="21"/>
                <w:szCs w:val="21"/>
              </w:rPr>
            </w:pPr>
          </w:p>
        </w:tc>
        <w:tc>
          <w:tcPr>
            <w:tcW w:w="8930"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s="宋体"/>
                <w:sz w:val="21"/>
                <w:szCs w:val="21"/>
              </w:rPr>
            </w:pPr>
            <w:r>
              <w:rPr>
                <w:rFonts w:hint="eastAsia" w:ascii="宋体" w:hAnsi="宋体" w:eastAsia="宋体" w:cs="宋体"/>
                <w:sz w:val="21"/>
                <w:szCs w:val="21"/>
              </w:rPr>
              <w:t>经国务院、国家有关部门或省政府、市政府批准的专项规划、区域规划中已明确的项目，取消单独审批项目建议书，直接审批项目可行性研究报告。</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市发改委</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市规划局、片区管理机构</w:t>
            </w:r>
          </w:p>
        </w:tc>
      </w:tr>
      <w:tr>
        <w:tblPrEx>
          <w:tblLayout w:type="fixed"/>
          <w:tblCellMar>
            <w:top w:w="0" w:type="dxa"/>
            <w:left w:w="108" w:type="dxa"/>
            <w:bottom w:w="0" w:type="dxa"/>
            <w:right w:w="108" w:type="dxa"/>
          </w:tblCellMar>
        </w:tblPrEx>
        <w:trPr>
          <w:trHeight w:val="46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12</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黑体" w:hAnsi="黑体" w:eastAsia="黑体" w:cs="宋体"/>
                <w:sz w:val="21"/>
                <w:szCs w:val="21"/>
              </w:rPr>
            </w:pPr>
          </w:p>
        </w:tc>
        <w:tc>
          <w:tcPr>
            <w:tcW w:w="8930"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s="宋体"/>
                <w:color w:val="000000"/>
                <w:sz w:val="21"/>
                <w:szCs w:val="21"/>
              </w:rPr>
            </w:pPr>
            <w:r>
              <w:rPr>
                <w:rFonts w:hint="eastAsia" w:ascii="宋体" w:hAnsi="宋体" w:eastAsia="宋体" w:cs="宋体"/>
                <w:color w:val="000000"/>
                <w:sz w:val="21"/>
                <w:szCs w:val="21"/>
              </w:rPr>
              <w:t>取消征拆公告或土地征收完成情况证明作为申报用地规划许可办理的前置条件。</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市规划局</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市国土局</w:t>
            </w:r>
          </w:p>
        </w:tc>
      </w:tr>
      <w:tr>
        <w:tblPrEx>
          <w:tblLayout w:type="fixed"/>
          <w:tblCellMar>
            <w:top w:w="0" w:type="dxa"/>
            <w:left w:w="108" w:type="dxa"/>
            <w:bottom w:w="0" w:type="dxa"/>
            <w:right w:w="108" w:type="dxa"/>
          </w:tblCellMar>
        </w:tblPrEx>
        <w:trPr>
          <w:trHeight w:val="51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13</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黑体" w:hAnsi="黑体" w:eastAsia="黑体" w:cs="宋体"/>
                <w:sz w:val="21"/>
                <w:szCs w:val="21"/>
              </w:rPr>
            </w:pPr>
          </w:p>
        </w:tc>
        <w:tc>
          <w:tcPr>
            <w:tcW w:w="893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21"/>
                <w:szCs w:val="21"/>
              </w:rPr>
            </w:pPr>
            <w:r>
              <w:rPr>
                <w:rFonts w:hint="eastAsia" w:ascii="宋体" w:hAnsi="宋体" w:eastAsia="宋体" w:cs="宋体"/>
                <w:color w:val="000000"/>
                <w:sz w:val="21"/>
                <w:szCs w:val="21"/>
              </w:rPr>
              <w:t>对建设内容单一、投资规模较小、技术方案简单，以及总投资在1亿元以下的政府投资项目，项目建议书、可行性研究报告、初步设计及概</w:t>
            </w:r>
            <w:r>
              <w:rPr>
                <w:rFonts w:hint="eastAsia" w:ascii="宋体" w:hAnsi="宋体" w:eastAsia="宋体" w:cs="宋体"/>
                <w:sz w:val="21"/>
                <w:szCs w:val="21"/>
              </w:rPr>
              <w:t>算可视情况合并</w:t>
            </w:r>
            <w:r>
              <w:rPr>
                <w:rFonts w:hint="eastAsia" w:ascii="宋体" w:hAnsi="宋体" w:eastAsia="宋体" w:cs="宋体"/>
                <w:color w:val="000000"/>
                <w:sz w:val="21"/>
                <w:szCs w:val="21"/>
              </w:rPr>
              <w:t>审批。</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市发改委</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color w:val="FF0000"/>
                <w:sz w:val="21"/>
                <w:szCs w:val="21"/>
              </w:rPr>
            </w:pPr>
            <w:r>
              <w:rPr>
                <w:rFonts w:hint="eastAsia" w:ascii="宋体" w:hAnsi="宋体" w:eastAsia="宋体" w:cs="宋体"/>
                <w:color w:val="FF0000"/>
                <w:sz w:val="21"/>
                <w:szCs w:val="21"/>
              </w:rPr>
              <w:t>　</w:t>
            </w:r>
          </w:p>
        </w:tc>
      </w:tr>
      <w:tr>
        <w:tblPrEx>
          <w:tblLayout w:type="fixed"/>
          <w:tblCellMar>
            <w:top w:w="0" w:type="dxa"/>
            <w:left w:w="108" w:type="dxa"/>
            <w:bottom w:w="0" w:type="dxa"/>
            <w:right w:w="108" w:type="dxa"/>
          </w:tblCellMar>
        </w:tblPrEx>
        <w:trPr>
          <w:trHeight w:val="65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14</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黑体" w:hAnsi="黑体" w:eastAsia="黑体" w:cs="宋体"/>
                <w:sz w:val="21"/>
                <w:szCs w:val="21"/>
              </w:rPr>
            </w:pPr>
          </w:p>
        </w:tc>
        <w:tc>
          <w:tcPr>
            <w:tcW w:w="8930"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s="宋体"/>
                <w:color w:val="000000"/>
                <w:sz w:val="21"/>
                <w:szCs w:val="21"/>
              </w:rPr>
            </w:pPr>
            <w:r>
              <w:rPr>
                <w:rFonts w:hint="eastAsia" w:ascii="宋体" w:hAnsi="宋体" w:eastAsia="宋体" w:cs="宋体"/>
                <w:color w:val="000000"/>
                <w:sz w:val="21"/>
                <w:szCs w:val="21"/>
              </w:rPr>
              <w:t>实行核准制管理的企业投资项目，实行告知承诺制；需商请有关部门或地方政府出具书面审查意见的，由发改部门通过征求意见函核实，不得要求项目建设单位提供。</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市发改委</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市发改委、市直各相关部门</w:t>
            </w:r>
          </w:p>
        </w:tc>
      </w:tr>
      <w:tr>
        <w:tblPrEx>
          <w:tblLayout w:type="fixed"/>
          <w:tblCellMar>
            <w:top w:w="0" w:type="dxa"/>
            <w:left w:w="108" w:type="dxa"/>
            <w:bottom w:w="0" w:type="dxa"/>
            <w:right w:w="108" w:type="dxa"/>
          </w:tblCellMar>
        </w:tblPrEx>
        <w:trPr>
          <w:trHeight w:val="9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15</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黑体" w:hAnsi="黑体" w:eastAsia="黑体" w:cs="宋体"/>
                <w:sz w:val="21"/>
                <w:szCs w:val="21"/>
              </w:rPr>
            </w:pPr>
          </w:p>
        </w:tc>
        <w:tc>
          <w:tcPr>
            <w:tcW w:w="8930"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s="宋体"/>
                <w:color w:val="000000"/>
                <w:sz w:val="21"/>
                <w:szCs w:val="21"/>
              </w:rPr>
            </w:pPr>
            <w:r>
              <w:rPr>
                <w:rFonts w:hint="eastAsia" w:ascii="宋体" w:hAnsi="宋体" w:eastAsia="宋体" w:cs="宋体"/>
                <w:color w:val="000000"/>
                <w:sz w:val="21"/>
                <w:szCs w:val="21"/>
              </w:rPr>
              <w:t>公开出让成功、签订土地合同后，同时办理发改部门备案及规划部门用地规划许可证。</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市发改委</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市发改委、市国土局</w:t>
            </w:r>
          </w:p>
        </w:tc>
      </w:tr>
      <w:tr>
        <w:tblPrEx>
          <w:tblLayout w:type="fixed"/>
          <w:tblCellMar>
            <w:top w:w="0" w:type="dxa"/>
            <w:left w:w="108" w:type="dxa"/>
            <w:bottom w:w="0" w:type="dxa"/>
            <w:right w:w="108" w:type="dxa"/>
          </w:tblCellMar>
        </w:tblPrEx>
        <w:trPr>
          <w:trHeight w:val="60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16</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黑体" w:hAnsi="黑体" w:eastAsia="黑体" w:cs="宋体"/>
                <w:sz w:val="21"/>
                <w:szCs w:val="21"/>
              </w:rPr>
            </w:pPr>
            <w:bookmarkStart w:id="2" w:name="RANGE!C18"/>
          </w:p>
          <w:bookmarkEnd w:id="2"/>
        </w:tc>
        <w:tc>
          <w:tcPr>
            <w:tcW w:w="8930"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s="宋体"/>
                <w:sz w:val="21"/>
                <w:szCs w:val="21"/>
              </w:rPr>
            </w:pPr>
            <w:r>
              <w:rPr>
                <w:rFonts w:hint="eastAsia" w:ascii="宋体" w:hAnsi="宋体" w:eastAsia="宋体" w:cs="宋体"/>
                <w:sz w:val="21"/>
                <w:szCs w:val="21"/>
              </w:rPr>
              <w:t>可将土地出让合同作为使用土地证明文件申请办理建设工程规划许可证，用地批准手续在施工许可前完成即可。</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市规划局</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市国土局、市建委</w:t>
            </w:r>
          </w:p>
        </w:tc>
      </w:tr>
      <w:tr>
        <w:tblPrEx>
          <w:tblLayout w:type="fixed"/>
          <w:tblCellMar>
            <w:top w:w="0" w:type="dxa"/>
            <w:left w:w="108" w:type="dxa"/>
            <w:bottom w:w="0" w:type="dxa"/>
            <w:right w:w="108" w:type="dxa"/>
          </w:tblCellMar>
        </w:tblPrEx>
        <w:trPr>
          <w:trHeight w:val="60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b/>
                <w:bCs/>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黑体" w:hAnsi="黑体" w:eastAsia="黑体" w:cs="宋体"/>
                <w:sz w:val="21"/>
                <w:szCs w:val="21"/>
              </w:rPr>
            </w:pPr>
            <w:r>
              <w:rPr>
                <w:rFonts w:hint="eastAsia" w:ascii="宋体" w:hAnsi="宋体" w:eastAsia="宋体" w:cs="宋体"/>
                <w:b/>
                <w:bCs/>
                <w:sz w:val="21"/>
                <w:szCs w:val="21"/>
              </w:rPr>
              <w:t>工作任务</w:t>
            </w:r>
          </w:p>
        </w:tc>
        <w:tc>
          <w:tcPr>
            <w:tcW w:w="8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b/>
                <w:bCs/>
                <w:sz w:val="21"/>
                <w:szCs w:val="21"/>
              </w:rPr>
              <w:t>具体内容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b/>
                <w:bCs/>
                <w:sz w:val="21"/>
                <w:szCs w:val="21"/>
              </w:rPr>
              <w:t>牵头单位</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b/>
                <w:bCs/>
                <w:color w:val="000000"/>
                <w:sz w:val="21"/>
                <w:szCs w:val="21"/>
              </w:rPr>
              <w:t>配合单位</w:t>
            </w:r>
          </w:p>
        </w:tc>
      </w:tr>
      <w:tr>
        <w:tblPrEx>
          <w:tblLayout w:type="fixed"/>
          <w:tblCellMar>
            <w:top w:w="0" w:type="dxa"/>
            <w:left w:w="108" w:type="dxa"/>
            <w:bottom w:w="0" w:type="dxa"/>
            <w:right w:w="108" w:type="dxa"/>
          </w:tblCellMar>
        </w:tblPrEx>
        <w:trPr>
          <w:trHeight w:val="6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17</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宋体"/>
                <w:sz w:val="21"/>
                <w:szCs w:val="21"/>
              </w:rPr>
            </w:pPr>
            <w:r>
              <w:rPr>
                <w:rFonts w:hint="eastAsia" w:ascii="黑体" w:hAnsi="黑体" w:eastAsia="黑体" w:cs="宋体"/>
                <w:sz w:val="21"/>
                <w:szCs w:val="21"/>
              </w:rPr>
              <w:t>再造审批流程</w:t>
            </w:r>
          </w:p>
        </w:tc>
        <w:tc>
          <w:tcPr>
            <w:tcW w:w="89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adjustRightInd w:val="0"/>
              <w:snapToGrid w:val="0"/>
              <w:spacing w:before="0" w:beforeAutospacing="0" w:after="0" w:afterAutospacing="0"/>
              <w:rPr>
                <w:rFonts w:ascii="宋体" w:hAnsi="宋体" w:cs="宋体"/>
                <w:sz w:val="21"/>
                <w:szCs w:val="21"/>
              </w:rPr>
            </w:pPr>
            <w:r>
              <w:rPr>
                <w:rFonts w:hint="eastAsia" w:ascii="宋体" w:hAnsi="宋体" w:cs="宋体"/>
                <w:color w:val="000000"/>
                <w:sz w:val="21"/>
                <w:szCs w:val="21"/>
              </w:rPr>
              <w:t>调整办理“建设项目规划设计条件”事项，具体地块规划条件由规划部门在办理项目选址阶段同步函告建设单位。</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市规划局</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市国土局</w:t>
            </w:r>
          </w:p>
        </w:tc>
      </w:tr>
      <w:tr>
        <w:tblPrEx>
          <w:tblLayout w:type="fixed"/>
          <w:tblCellMar>
            <w:top w:w="0" w:type="dxa"/>
            <w:left w:w="108" w:type="dxa"/>
            <w:bottom w:w="0" w:type="dxa"/>
            <w:right w:w="108" w:type="dxa"/>
          </w:tblCellMar>
        </w:tblPrEx>
        <w:trPr>
          <w:trHeight w:val="689"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18</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宋体"/>
                <w:sz w:val="21"/>
                <w:szCs w:val="21"/>
              </w:rPr>
            </w:pPr>
          </w:p>
        </w:tc>
        <w:tc>
          <w:tcPr>
            <w:tcW w:w="8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宋体" w:hAnsi="宋体" w:eastAsia="宋体" w:cs="宋体"/>
                <w:color w:val="000000"/>
                <w:sz w:val="21"/>
                <w:szCs w:val="21"/>
              </w:rPr>
            </w:pPr>
            <w:r>
              <w:rPr>
                <w:rFonts w:hint="eastAsia" w:ascii="宋体" w:hAnsi="宋体" w:eastAsia="宋体" w:cs="宋体"/>
                <w:color w:val="000000"/>
                <w:sz w:val="21"/>
                <w:szCs w:val="21"/>
              </w:rPr>
              <w:t>环境影响评价、海洋环境影响评价意见、水土保持方案审批、防洪论证、取水申请批准文件等评估均可在立项后、开工前办理。</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市发改委</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市环保局、市地震局、市海渔局、市水利局、市国土局等</w:t>
            </w:r>
          </w:p>
        </w:tc>
      </w:tr>
      <w:tr>
        <w:tblPrEx>
          <w:tblLayout w:type="fixed"/>
          <w:tblCellMar>
            <w:top w:w="0" w:type="dxa"/>
            <w:left w:w="108" w:type="dxa"/>
            <w:bottom w:w="0" w:type="dxa"/>
            <w:right w:w="108" w:type="dxa"/>
          </w:tblCellMar>
        </w:tblPrEx>
        <w:trPr>
          <w:trHeight w:val="86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19</w:t>
            </w:r>
          </w:p>
        </w:tc>
        <w:tc>
          <w:tcPr>
            <w:tcW w:w="1134" w:type="dxa"/>
            <w:vMerge w:val="continue"/>
            <w:tcBorders>
              <w:top w:val="single" w:color="auto" w:sz="4" w:space="0"/>
              <w:left w:val="single" w:color="auto" w:sz="4" w:space="0"/>
              <w:right w:val="single" w:color="auto" w:sz="4" w:space="0"/>
            </w:tcBorders>
            <w:vAlign w:val="center"/>
          </w:tcPr>
          <w:p>
            <w:pPr>
              <w:spacing w:line="240" w:lineRule="auto"/>
              <w:rPr>
                <w:rFonts w:ascii="黑体" w:hAnsi="黑体" w:eastAsia="黑体" w:cs="宋体"/>
                <w:sz w:val="21"/>
                <w:szCs w:val="21"/>
              </w:rPr>
            </w:pPr>
          </w:p>
        </w:tc>
        <w:tc>
          <w:tcPr>
            <w:tcW w:w="8930"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宋体" w:hAnsi="宋体" w:eastAsia="宋体" w:cs="宋体"/>
                <w:sz w:val="21"/>
                <w:szCs w:val="21"/>
              </w:rPr>
            </w:pPr>
            <w:r>
              <w:rPr>
                <w:rFonts w:hint="eastAsia" w:ascii="宋体" w:hAnsi="宋体" w:eastAsia="宋体" w:cs="宋体"/>
                <w:sz w:val="21"/>
                <w:szCs w:val="21"/>
              </w:rPr>
              <w:t>工程建设许可阶段由规划部门牵头，建设管理审批事项主要包括设计方案审查、建设工程规划许可证核发等。社会投资项目、政府投资市政类项目12个工作日内办结。政府投资房建类项目13个工作日内办结。</w:t>
            </w:r>
          </w:p>
        </w:tc>
        <w:tc>
          <w:tcPr>
            <w:tcW w:w="1134" w:type="dxa"/>
            <w:tcBorders>
              <w:top w:val="single" w:color="auto" w:sz="4" w:space="0"/>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市规划局</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该阶段其他事项责任单位</w:t>
            </w:r>
          </w:p>
        </w:tc>
      </w:tr>
      <w:tr>
        <w:tblPrEx>
          <w:tblLayout w:type="fixed"/>
          <w:tblCellMar>
            <w:top w:w="0" w:type="dxa"/>
            <w:left w:w="108" w:type="dxa"/>
            <w:bottom w:w="0" w:type="dxa"/>
            <w:right w:w="108" w:type="dxa"/>
          </w:tblCellMar>
        </w:tblPrEx>
        <w:trPr>
          <w:trHeight w:val="34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20</w:t>
            </w:r>
          </w:p>
        </w:tc>
        <w:tc>
          <w:tcPr>
            <w:tcW w:w="1134" w:type="dxa"/>
            <w:vMerge w:val="continue"/>
            <w:tcBorders>
              <w:left w:val="single" w:color="auto" w:sz="4" w:space="0"/>
              <w:right w:val="single" w:color="auto" w:sz="4" w:space="0"/>
            </w:tcBorders>
            <w:vAlign w:val="center"/>
          </w:tcPr>
          <w:p>
            <w:pPr>
              <w:rPr>
                <w:rFonts w:ascii="黑体" w:hAnsi="黑体" w:eastAsia="黑体" w:cs="宋体"/>
                <w:sz w:val="21"/>
                <w:szCs w:val="21"/>
              </w:rPr>
            </w:pPr>
          </w:p>
        </w:tc>
        <w:tc>
          <w:tcPr>
            <w:tcW w:w="893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uto"/>
              <w:rPr>
                <w:rFonts w:ascii="仿宋" w:hAnsi="仿宋" w:eastAsia="仿宋" w:cs="仿宋"/>
                <w:bCs/>
                <w:sz w:val="32"/>
                <w:szCs w:val="32"/>
              </w:rPr>
            </w:pPr>
            <w:r>
              <w:rPr>
                <w:rFonts w:hint="eastAsia" w:ascii="宋体" w:hAnsi="宋体" w:eastAsia="宋体" w:cs="宋体"/>
                <w:sz w:val="21"/>
                <w:szCs w:val="21"/>
              </w:rPr>
              <w:t>取消“人防审查意见”作为办理建设工程规划许可证的前置条件，由人防部门在工程建设许可阶段主动服务。</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市人防办</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62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21</w:t>
            </w:r>
          </w:p>
        </w:tc>
        <w:tc>
          <w:tcPr>
            <w:tcW w:w="1134" w:type="dxa"/>
            <w:vMerge w:val="continue"/>
            <w:tcBorders>
              <w:left w:val="single" w:color="auto" w:sz="4" w:space="0"/>
              <w:right w:val="single" w:color="auto" w:sz="4" w:space="0"/>
            </w:tcBorders>
            <w:vAlign w:val="center"/>
          </w:tcPr>
          <w:p>
            <w:pPr>
              <w:spacing w:line="240" w:lineRule="auto"/>
              <w:rPr>
                <w:rFonts w:ascii="黑体" w:hAnsi="黑体" w:eastAsia="黑体" w:cs="宋体"/>
                <w:sz w:val="21"/>
                <w:szCs w:val="21"/>
              </w:rPr>
            </w:pPr>
          </w:p>
        </w:tc>
        <w:tc>
          <w:tcPr>
            <w:tcW w:w="8930"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eastAsia="宋体" w:cs="宋体"/>
                <w:sz w:val="21"/>
                <w:szCs w:val="21"/>
              </w:rPr>
            </w:pPr>
            <w:r>
              <w:rPr>
                <w:rFonts w:hint="eastAsia" w:ascii="宋体" w:hAnsi="宋体" w:eastAsia="宋体" w:cs="宋体"/>
                <w:sz w:val="21"/>
                <w:szCs w:val="21"/>
              </w:rPr>
              <w:t>取消规划部门对建设项目管线接驳、机动车开口等核发“建设工程规划许可证”进行流程，建设项目机动车开口可直接依据总平面图确定的位置、宽度进行放样；建设单位依据管线综合平面图中管线接驳方向进行具体方案设计的，规划部门不再审查管线接驳方案。</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市城管委</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市城管委、各管线单位</w:t>
            </w:r>
          </w:p>
        </w:tc>
      </w:tr>
      <w:tr>
        <w:tblPrEx>
          <w:tblLayout w:type="fixed"/>
          <w:tblCellMar>
            <w:top w:w="0" w:type="dxa"/>
            <w:left w:w="108" w:type="dxa"/>
            <w:bottom w:w="0" w:type="dxa"/>
            <w:right w:w="108" w:type="dxa"/>
          </w:tblCellMar>
        </w:tblPrEx>
        <w:trPr>
          <w:trHeight w:val="137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22</w:t>
            </w:r>
          </w:p>
        </w:tc>
        <w:tc>
          <w:tcPr>
            <w:tcW w:w="1134" w:type="dxa"/>
            <w:vMerge w:val="continue"/>
            <w:tcBorders>
              <w:left w:val="single" w:color="auto" w:sz="4" w:space="0"/>
              <w:right w:val="single" w:color="auto" w:sz="4" w:space="0"/>
            </w:tcBorders>
            <w:vAlign w:val="center"/>
          </w:tcPr>
          <w:p>
            <w:pPr>
              <w:spacing w:line="240" w:lineRule="auto"/>
              <w:rPr>
                <w:rFonts w:ascii="黑体" w:hAnsi="黑体" w:eastAsia="黑体" w:cs="宋体"/>
                <w:sz w:val="21"/>
                <w:szCs w:val="21"/>
              </w:rPr>
            </w:pPr>
          </w:p>
        </w:tc>
        <w:tc>
          <w:tcPr>
            <w:tcW w:w="8930"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s="宋体"/>
                <w:sz w:val="21"/>
                <w:szCs w:val="21"/>
              </w:rPr>
            </w:pPr>
            <w:r>
              <w:rPr>
                <w:rFonts w:hint="eastAsia" w:ascii="宋体" w:hAnsi="宋体" w:eastAsia="宋体" w:cs="宋体"/>
                <w:sz w:val="21"/>
                <w:szCs w:val="21"/>
              </w:rPr>
              <w:t>需破路施工的，应及时向市政工程管理部门申报施工计划，按程序报批后办理破路审批手续。各管线接驳、机动车开口审批手续的后续办理部门(交警、城管、园林等)，按照规划局批准的管线综合平面图、各专业管线单位认可的管线接驳方案与破路施工安排计划，直接办理后续相关破路手续。</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市城管委</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市城管委、市交警支队、市园林局、各管线单位</w:t>
            </w:r>
          </w:p>
        </w:tc>
      </w:tr>
      <w:tr>
        <w:tblPrEx>
          <w:tblLayout w:type="fixed"/>
          <w:tblCellMar>
            <w:top w:w="0" w:type="dxa"/>
            <w:left w:w="108" w:type="dxa"/>
            <w:bottom w:w="0" w:type="dxa"/>
            <w:right w:w="108" w:type="dxa"/>
          </w:tblCellMar>
        </w:tblPrEx>
        <w:trPr>
          <w:trHeight w:val="139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23</w:t>
            </w:r>
          </w:p>
        </w:tc>
        <w:tc>
          <w:tcPr>
            <w:tcW w:w="1134" w:type="dxa"/>
            <w:vMerge w:val="continue"/>
            <w:tcBorders>
              <w:left w:val="single" w:color="auto" w:sz="4" w:space="0"/>
              <w:right w:val="single" w:color="auto" w:sz="4" w:space="0"/>
            </w:tcBorders>
            <w:vAlign w:val="center"/>
          </w:tcPr>
          <w:p>
            <w:pPr>
              <w:spacing w:line="240" w:lineRule="auto"/>
              <w:rPr>
                <w:rFonts w:ascii="黑体" w:hAnsi="黑体" w:eastAsia="黑体" w:cs="宋体"/>
                <w:sz w:val="21"/>
                <w:szCs w:val="21"/>
              </w:rPr>
            </w:pPr>
          </w:p>
        </w:tc>
        <w:tc>
          <w:tcPr>
            <w:tcW w:w="8930"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s="宋体"/>
                <w:sz w:val="21"/>
                <w:szCs w:val="21"/>
              </w:rPr>
            </w:pPr>
            <w:r>
              <w:rPr>
                <w:rFonts w:hint="eastAsia" w:ascii="宋体" w:hAnsi="宋体" w:eastAsia="宋体" w:cs="宋体"/>
                <w:sz w:val="21"/>
                <w:szCs w:val="21"/>
              </w:rPr>
              <w:t>取消项目施工用水和永久性用水、临时用电及永久性用电、项目用气、广电网络等公用服务的申请环节，由供水、供电、供气、广电网络企业在规划部门出具管线综合平面图后，主动告知业务流程及技术指导意见。实行供水、供电、供气、广电网络等公用服务事项“一站式”服务，简化程序、压减时限，从项目纳入企业服务系统到流程办结，办理时间均减至15个工作日内。</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市行政（市民）服务中心管委会</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市自来水公司、福州供电公司、市华润燃气公司、市广电网络公司</w:t>
            </w:r>
          </w:p>
        </w:tc>
      </w:tr>
      <w:tr>
        <w:tblPrEx>
          <w:tblLayout w:type="fixed"/>
          <w:tblCellMar>
            <w:top w:w="0" w:type="dxa"/>
            <w:left w:w="108" w:type="dxa"/>
            <w:bottom w:w="0" w:type="dxa"/>
            <w:right w:w="108" w:type="dxa"/>
          </w:tblCellMar>
        </w:tblPrEx>
        <w:trPr>
          <w:trHeight w:val="113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24</w:t>
            </w:r>
          </w:p>
        </w:tc>
        <w:tc>
          <w:tcPr>
            <w:tcW w:w="1134" w:type="dxa"/>
            <w:vMerge w:val="continue"/>
            <w:tcBorders>
              <w:left w:val="single" w:color="auto" w:sz="4" w:space="0"/>
              <w:bottom w:val="single" w:color="auto" w:sz="4" w:space="0"/>
              <w:right w:val="single" w:color="auto" w:sz="4" w:space="0"/>
            </w:tcBorders>
            <w:vAlign w:val="center"/>
          </w:tcPr>
          <w:p>
            <w:pPr>
              <w:spacing w:line="240" w:lineRule="auto"/>
              <w:rPr>
                <w:rFonts w:ascii="黑体" w:hAnsi="黑体" w:eastAsia="黑体" w:cs="宋体"/>
                <w:sz w:val="21"/>
                <w:szCs w:val="21"/>
              </w:rPr>
            </w:pPr>
          </w:p>
        </w:tc>
        <w:tc>
          <w:tcPr>
            <w:tcW w:w="8930" w:type="dxa"/>
            <w:tcBorders>
              <w:top w:val="nil"/>
              <w:left w:val="nil"/>
              <w:bottom w:val="single" w:color="auto" w:sz="4" w:space="0"/>
              <w:right w:val="single" w:color="auto" w:sz="4" w:space="0"/>
            </w:tcBorders>
            <w:shd w:val="clear" w:color="auto" w:fill="auto"/>
            <w:vAlign w:val="center"/>
          </w:tcPr>
          <w:p>
            <w:pPr>
              <w:spacing w:line="240" w:lineRule="auto"/>
              <w:jc w:val="both"/>
              <w:rPr>
                <w:rFonts w:ascii="宋体" w:hAnsi="宋体" w:eastAsia="宋体" w:cs="宋体"/>
                <w:sz w:val="21"/>
                <w:szCs w:val="21"/>
              </w:rPr>
            </w:pPr>
            <w:r>
              <w:rPr>
                <w:rFonts w:hint="eastAsia" w:ascii="宋体" w:hAnsi="宋体" w:eastAsia="宋体" w:cs="宋体"/>
                <w:sz w:val="21"/>
                <w:szCs w:val="21"/>
              </w:rPr>
              <w:t>将“建设项目总平面规划方案审批”“建筑设计方案审查”“管线综合图审核”事项合并为“规划设计方案审查”事项。</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市规划局</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85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b/>
                <w:bCs/>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黑体" w:hAnsi="黑体" w:eastAsia="黑体" w:cs="宋体"/>
                <w:sz w:val="21"/>
                <w:szCs w:val="21"/>
              </w:rPr>
            </w:pPr>
            <w:r>
              <w:rPr>
                <w:rFonts w:hint="eastAsia" w:ascii="宋体" w:hAnsi="宋体" w:eastAsia="宋体" w:cs="宋体"/>
                <w:b/>
                <w:bCs/>
                <w:sz w:val="21"/>
                <w:szCs w:val="21"/>
              </w:rPr>
              <w:t>工作任务</w:t>
            </w:r>
          </w:p>
        </w:tc>
        <w:tc>
          <w:tcPr>
            <w:tcW w:w="8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b/>
                <w:bCs/>
                <w:sz w:val="21"/>
                <w:szCs w:val="21"/>
              </w:rPr>
              <w:t>具体内容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b/>
                <w:bCs/>
                <w:sz w:val="21"/>
                <w:szCs w:val="21"/>
              </w:rPr>
              <w:t>牵头单位</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b/>
                <w:bCs/>
                <w:color w:val="000000"/>
                <w:sz w:val="21"/>
                <w:szCs w:val="21"/>
              </w:rPr>
              <w:t>配合单位</w:t>
            </w:r>
          </w:p>
        </w:tc>
      </w:tr>
      <w:tr>
        <w:tblPrEx>
          <w:tblLayout w:type="fixed"/>
          <w:tblCellMar>
            <w:top w:w="0" w:type="dxa"/>
            <w:left w:w="108" w:type="dxa"/>
            <w:bottom w:w="0" w:type="dxa"/>
            <w:right w:w="108" w:type="dxa"/>
          </w:tblCellMar>
        </w:tblPrEx>
        <w:trPr>
          <w:trHeight w:val="1113"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25</w:t>
            </w:r>
          </w:p>
        </w:tc>
        <w:tc>
          <w:tcPr>
            <w:tcW w:w="1134" w:type="dxa"/>
            <w:vMerge w:val="restart"/>
            <w:tcBorders>
              <w:top w:val="single" w:color="auto" w:sz="4" w:space="0"/>
              <w:left w:val="single" w:color="auto" w:sz="4" w:space="0"/>
              <w:right w:val="single" w:color="auto" w:sz="4" w:space="0"/>
            </w:tcBorders>
            <w:vAlign w:val="center"/>
          </w:tcPr>
          <w:p>
            <w:pPr>
              <w:spacing w:line="240" w:lineRule="auto"/>
              <w:jc w:val="center"/>
              <w:rPr>
                <w:rFonts w:ascii="黑体" w:hAnsi="黑体" w:eastAsia="黑体" w:cs="宋体"/>
                <w:sz w:val="21"/>
                <w:szCs w:val="21"/>
              </w:rPr>
            </w:pPr>
            <w:r>
              <w:rPr>
                <w:rFonts w:hint="eastAsia" w:ascii="黑体" w:hAnsi="黑体" w:eastAsia="黑体" w:cs="宋体"/>
                <w:sz w:val="21"/>
                <w:szCs w:val="21"/>
              </w:rPr>
              <w:t>再造审批流程</w:t>
            </w:r>
          </w:p>
        </w:tc>
        <w:tc>
          <w:tcPr>
            <w:tcW w:w="8930"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宋体" w:hAnsi="宋体" w:eastAsia="宋体" w:cs="宋体"/>
                <w:sz w:val="21"/>
                <w:szCs w:val="21"/>
              </w:rPr>
            </w:pPr>
            <w:r>
              <w:rPr>
                <w:rFonts w:hint="eastAsia" w:ascii="宋体" w:hAnsi="宋体" w:eastAsia="宋体" w:cs="宋体"/>
                <w:sz w:val="21"/>
                <w:szCs w:val="21"/>
              </w:rPr>
              <w:t>简化管综审查流程，规划部门根据相关规范在“规划设计方案审查”阶段对项目管线布局、接驳方向等进行技术审查并盖章出具管线综合平面图；各管线配套用房面积、位置等在“规划设计方案审查”阶段一并确定。</w:t>
            </w:r>
          </w:p>
        </w:tc>
        <w:tc>
          <w:tcPr>
            <w:tcW w:w="1134" w:type="dxa"/>
            <w:tcBorders>
              <w:top w:val="single" w:color="auto" w:sz="4" w:space="0"/>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市规划局</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各管线单位</w:t>
            </w:r>
          </w:p>
        </w:tc>
      </w:tr>
      <w:tr>
        <w:tblPrEx>
          <w:tblLayout w:type="fixed"/>
          <w:tblCellMar>
            <w:top w:w="0" w:type="dxa"/>
            <w:left w:w="108" w:type="dxa"/>
            <w:bottom w:w="0" w:type="dxa"/>
            <w:right w:w="108" w:type="dxa"/>
          </w:tblCellMar>
        </w:tblPrEx>
        <w:trPr>
          <w:trHeight w:val="412"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26</w:t>
            </w:r>
          </w:p>
        </w:tc>
        <w:tc>
          <w:tcPr>
            <w:tcW w:w="1134" w:type="dxa"/>
            <w:vMerge w:val="continue"/>
            <w:tcBorders>
              <w:left w:val="single" w:color="auto" w:sz="4" w:space="0"/>
              <w:right w:val="single" w:color="auto" w:sz="4" w:space="0"/>
            </w:tcBorders>
            <w:vAlign w:val="center"/>
          </w:tcPr>
          <w:p>
            <w:pPr>
              <w:spacing w:line="240" w:lineRule="auto"/>
              <w:rPr>
                <w:rFonts w:ascii="黑体" w:hAnsi="黑体" w:eastAsia="黑体" w:cs="宋体"/>
                <w:sz w:val="21"/>
                <w:szCs w:val="21"/>
              </w:rPr>
            </w:pPr>
          </w:p>
        </w:tc>
        <w:tc>
          <w:tcPr>
            <w:tcW w:w="8930"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宋体" w:hAnsi="宋体" w:eastAsia="宋体" w:cs="宋体"/>
                <w:sz w:val="21"/>
                <w:szCs w:val="21"/>
              </w:rPr>
            </w:pPr>
            <w:r>
              <w:rPr>
                <w:rFonts w:hint="eastAsia" w:ascii="宋体" w:hAnsi="宋体" w:eastAsia="宋体" w:cs="宋体"/>
                <w:sz w:val="21"/>
                <w:szCs w:val="21"/>
              </w:rPr>
              <w:t>交通影响评估报告、日照分析审查，可在立项后、规划设计方案审查前完成。</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市规划局</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相关中介服务事项责任单位</w:t>
            </w:r>
          </w:p>
        </w:tc>
      </w:tr>
      <w:tr>
        <w:tblPrEx>
          <w:tblLayout w:type="fixed"/>
          <w:tblCellMar>
            <w:top w:w="0" w:type="dxa"/>
            <w:left w:w="108" w:type="dxa"/>
            <w:bottom w:w="0" w:type="dxa"/>
            <w:right w:w="108" w:type="dxa"/>
          </w:tblCellMar>
        </w:tblPrEx>
        <w:trPr>
          <w:trHeight w:val="6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27</w:t>
            </w:r>
          </w:p>
        </w:tc>
        <w:tc>
          <w:tcPr>
            <w:tcW w:w="1134" w:type="dxa"/>
            <w:vMerge w:val="continue"/>
            <w:tcBorders>
              <w:left w:val="single" w:color="auto" w:sz="4" w:space="0"/>
              <w:right w:val="single" w:color="auto" w:sz="4" w:space="0"/>
            </w:tcBorders>
            <w:vAlign w:val="center"/>
          </w:tcPr>
          <w:p>
            <w:pPr>
              <w:spacing w:line="240" w:lineRule="auto"/>
              <w:rPr>
                <w:rFonts w:ascii="黑体" w:hAnsi="黑体" w:eastAsia="黑体" w:cs="宋体"/>
                <w:sz w:val="21"/>
                <w:szCs w:val="21"/>
              </w:rPr>
            </w:pPr>
          </w:p>
        </w:tc>
        <w:tc>
          <w:tcPr>
            <w:tcW w:w="8930"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宋体" w:hAnsi="宋体" w:eastAsia="宋体" w:cs="宋体"/>
                <w:sz w:val="21"/>
                <w:szCs w:val="21"/>
              </w:rPr>
            </w:pPr>
            <w:r>
              <w:rPr>
                <w:rFonts w:hint="eastAsia" w:ascii="宋体" w:hAnsi="宋体" w:eastAsia="宋体" w:cs="宋体"/>
                <w:sz w:val="21"/>
                <w:szCs w:val="21"/>
              </w:rPr>
              <w:t>公示牌制作合同、建设项目面积测算和《建设工程规划监测报告》，可在办结建设用地规划许可证后、办理建设工程规划许可证前完成。</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市规划局</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相关中介服务事项责任单位</w:t>
            </w:r>
          </w:p>
        </w:tc>
      </w:tr>
      <w:tr>
        <w:tblPrEx>
          <w:tblLayout w:type="fixed"/>
          <w:tblCellMar>
            <w:top w:w="0" w:type="dxa"/>
            <w:left w:w="108" w:type="dxa"/>
            <w:bottom w:w="0" w:type="dxa"/>
            <w:right w:w="108" w:type="dxa"/>
          </w:tblCellMar>
        </w:tblPrEx>
        <w:trPr>
          <w:trHeight w:val="90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28</w:t>
            </w:r>
          </w:p>
        </w:tc>
        <w:tc>
          <w:tcPr>
            <w:tcW w:w="1134" w:type="dxa"/>
            <w:vMerge w:val="continue"/>
            <w:tcBorders>
              <w:left w:val="single" w:color="auto" w:sz="4" w:space="0"/>
              <w:right w:val="single" w:color="auto" w:sz="4" w:space="0"/>
            </w:tcBorders>
            <w:vAlign w:val="center"/>
          </w:tcPr>
          <w:p>
            <w:pPr>
              <w:spacing w:line="240" w:lineRule="auto"/>
              <w:rPr>
                <w:rFonts w:ascii="黑体" w:hAnsi="黑体" w:eastAsia="黑体" w:cs="宋体"/>
                <w:sz w:val="21"/>
                <w:szCs w:val="21"/>
              </w:rPr>
            </w:pPr>
          </w:p>
        </w:tc>
        <w:tc>
          <w:tcPr>
            <w:tcW w:w="8930"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s="宋体"/>
                <w:sz w:val="21"/>
                <w:szCs w:val="21"/>
              </w:rPr>
            </w:pPr>
            <w:r>
              <w:rPr>
                <w:rFonts w:hint="eastAsia" w:ascii="宋体" w:hAnsi="宋体" w:eastAsia="宋体" w:cs="宋体"/>
                <w:sz w:val="21"/>
                <w:szCs w:val="21"/>
              </w:rPr>
              <w:t>施工许可阶段由建设部门牵头，建设管理审批事项主要包括消防、人防等设计审核确认和施工许可证核发等。社会投资项目、政府投资房建类项目5个工作日内办结，政府投资市政类项目2个工作日内办结。</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市建委</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市建委、市消防支队、市人防办、该阶段其他事项责任单位</w:t>
            </w:r>
          </w:p>
        </w:tc>
      </w:tr>
      <w:tr>
        <w:tblPrEx>
          <w:tblLayout w:type="fixed"/>
          <w:tblCellMar>
            <w:top w:w="0" w:type="dxa"/>
            <w:left w:w="108" w:type="dxa"/>
            <w:bottom w:w="0" w:type="dxa"/>
            <w:right w:w="108" w:type="dxa"/>
          </w:tblCellMar>
        </w:tblPrEx>
        <w:trPr>
          <w:trHeight w:val="48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29</w:t>
            </w:r>
          </w:p>
        </w:tc>
        <w:tc>
          <w:tcPr>
            <w:tcW w:w="1134" w:type="dxa"/>
            <w:vMerge w:val="continue"/>
            <w:tcBorders>
              <w:left w:val="single" w:color="auto" w:sz="4" w:space="0"/>
              <w:right w:val="single" w:color="auto" w:sz="4" w:space="0"/>
            </w:tcBorders>
            <w:vAlign w:val="center"/>
          </w:tcPr>
          <w:p>
            <w:pPr>
              <w:spacing w:line="240" w:lineRule="auto"/>
              <w:rPr>
                <w:rFonts w:ascii="黑体" w:hAnsi="黑体" w:eastAsia="黑体" w:cs="宋体"/>
                <w:sz w:val="21"/>
                <w:szCs w:val="21"/>
              </w:rPr>
            </w:pPr>
          </w:p>
        </w:tc>
        <w:tc>
          <w:tcPr>
            <w:tcW w:w="8930"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s="宋体"/>
                <w:color w:val="000000"/>
                <w:sz w:val="21"/>
                <w:szCs w:val="21"/>
              </w:rPr>
            </w:pPr>
            <w:r>
              <w:rPr>
                <w:rFonts w:hint="eastAsia" w:ascii="宋体" w:hAnsi="宋体" w:eastAsia="宋体" w:cs="宋体"/>
                <w:color w:val="000000"/>
                <w:sz w:val="21"/>
                <w:szCs w:val="21"/>
              </w:rPr>
              <w:t>取消施工许可证核发前的施工合同备案、监理合同备案、施工现场管理人员备案、监理工程登记备案等4个事项以及施工现场踏勘环节。</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市建委</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30</w:t>
            </w:r>
          </w:p>
        </w:tc>
        <w:tc>
          <w:tcPr>
            <w:tcW w:w="1134" w:type="dxa"/>
            <w:vMerge w:val="continue"/>
            <w:tcBorders>
              <w:left w:val="single" w:color="auto" w:sz="4" w:space="0"/>
              <w:right w:val="single" w:color="auto" w:sz="4" w:space="0"/>
            </w:tcBorders>
            <w:vAlign w:val="center"/>
          </w:tcPr>
          <w:p>
            <w:pPr>
              <w:spacing w:line="240" w:lineRule="auto"/>
              <w:jc w:val="center"/>
              <w:rPr>
                <w:rFonts w:ascii="黑体" w:hAnsi="黑体" w:eastAsia="黑体" w:cs="宋体"/>
                <w:sz w:val="21"/>
                <w:szCs w:val="21"/>
              </w:rPr>
            </w:pPr>
          </w:p>
        </w:tc>
        <w:tc>
          <w:tcPr>
            <w:tcW w:w="8930"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s="宋体"/>
                <w:color w:val="000000"/>
                <w:sz w:val="21"/>
                <w:szCs w:val="21"/>
              </w:rPr>
            </w:pPr>
            <w:r>
              <w:rPr>
                <w:rFonts w:hint="eastAsia" w:ascii="宋体" w:hAnsi="宋体" w:eastAsia="宋体" w:cs="宋体"/>
                <w:color w:val="000000"/>
                <w:sz w:val="21"/>
                <w:szCs w:val="21"/>
              </w:rPr>
              <w:t>取消建设单位资金到位证明、农民工工伤保险证明、施工现场远程视频监控安装协议等3项前置要件。</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市建委</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市人社局</w:t>
            </w:r>
          </w:p>
        </w:tc>
      </w:tr>
      <w:tr>
        <w:tblPrEx>
          <w:tblLayout w:type="fixed"/>
          <w:tblCellMar>
            <w:top w:w="0" w:type="dxa"/>
            <w:left w:w="108" w:type="dxa"/>
            <w:bottom w:w="0" w:type="dxa"/>
            <w:right w:w="108" w:type="dxa"/>
          </w:tblCellMar>
        </w:tblPrEx>
        <w:trPr>
          <w:trHeight w:val="48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31</w:t>
            </w:r>
          </w:p>
        </w:tc>
        <w:tc>
          <w:tcPr>
            <w:tcW w:w="1134" w:type="dxa"/>
            <w:vMerge w:val="continue"/>
            <w:tcBorders>
              <w:left w:val="single" w:color="auto" w:sz="4" w:space="0"/>
              <w:right w:val="single" w:color="auto" w:sz="4" w:space="0"/>
            </w:tcBorders>
            <w:vAlign w:val="center"/>
          </w:tcPr>
          <w:p>
            <w:pPr>
              <w:jc w:val="center"/>
              <w:rPr>
                <w:rFonts w:ascii="黑体" w:hAnsi="黑体" w:eastAsia="黑体" w:cs="宋体"/>
                <w:sz w:val="21"/>
                <w:szCs w:val="21"/>
              </w:rPr>
            </w:pPr>
          </w:p>
        </w:tc>
        <w:tc>
          <w:tcPr>
            <w:tcW w:w="8930"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s="宋体"/>
                <w:color w:val="000000"/>
                <w:sz w:val="21"/>
                <w:szCs w:val="21"/>
              </w:rPr>
            </w:pPr>
            <w:r>
              <w:rPr>
                <w:rFonts w:hint="eastAsia" w:ascii="宋体" w:hAnsi="宋体" w:eastAsia="宋体" w:cs="宋体"/>
                <w:color w:val="000000"/>
                <w:sz w:val="21"/>
                <w:szCs w:val="21"/>
              </w:rPr>
              <w:t>取消施工许可证核发的纸质申报，实行全流程网络化申请和审批。</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市建委</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8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32</w:t>
            </w:r>
          </w:p>
        </w:tc>
        <w:tc>
          <w:tcPr>
            <w:tcW w:w="1134" w:type="dxa"/>
            <w:vMerge w:val="continue"/>
            <w:tcBorders>
              <w:left w:val="single" w:color="auto" w:sz="4" w:space="0"/>
              <w:right w:val="single" w:color="auto" w:sz="4" w:space="0"/>
            </w:tcBorders>
            <w:vAlign w:val="center"/>
          </w:tcPr>
          <w:p>
            <w:pPr>
              <w:jc w:val="center"/>
              <w:rPr>
                <w:rFonts w:ascii="黑体" w:hAnsi="黑体" w:eastAsia="黑体" w:cs="宋体"/>
                <w:sz w:val="21"/>
                <w:szCs w:val="21"/>
              </w:rPr>
            </w:pPr>
          </w:p>
        </w:tc>
        <w:tc>
          <w:tcPr>
            <w:tcW w:w="8930"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s="宋体"/>
                <w:color w:val="000000"/>
                <w:sz w:val="21"/>
                <w:szCs w:val="21"/>
              </w:rPr>
            </w:pPr>
            <w:r>
              <w:rPr>
                <w:rFonts w:hint="eastAsia" w:ascii="宋体" w:hAnsi="宋体" w:eastAsia="宋体" w:cs="宋体"/>
                <w:color w:val="000000"/>
                <w:sz w:val="21"/>
                <w:szCs w:val="21"/>
              </w:rPr>
              <w:t>取消企业在申请工程勘察、工程设计、建筑业企业资质（含升级、延续、变更）时，提供企业资质证书、注册执业人员身份证明和注册证书，由资质许可机关根据全国建筑市场监管公共服务平台的相关数据自行核查比对。</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市建委</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90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33</w:t>
            </w:r>
          </w:p>
        </w:tc>
        <w:tc>
          <w:tcPr>
            <w:tcW w:w="1134"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宋体"/>
                <w:sz w:val="21"/>
                <w:szCs w:val="21"/>
              </w:rPr>
            </w:pPr>
          </w:p>
        </w:tc>
        <w:tc>
          <w:tcPr>
            <w:tcW w:w="8930"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s="宋体"/>
                <w:color w:val="000000"/>
                <w:sz w:val="21"/>
                <w:szCs w:val="21"/>
              </w:rPr>
            </w:pPr>
            <w:r>
              <w:rPr>
                <w:rFonts w:hint="eastAsia" w:ascii="宋体" w:hAnsi="宋体" w:eastAsia="宋体" w:cs="宋体"/>
                <w:color w:val="000000"/>
                <w:sz w:val="21"/>
                <w:szCs w:val="21"/>
              </w:rPr>
              <w:t>取消企业在申请工程勘察、工程设计、建筑业企业资质（含新申请、升级、延续、变更）时，提供人员社保证明材料，由资质申报企业的法定代表人对人员社保真实性、有效性签字承诺，并承担相应法律责任。</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市建委</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9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b/>
                <w:bCs/>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黑体" w:hAnsi="黑体" w:eastAsia="黑体" w:cs="宋体"/>
                <w:sz w:val="21"/>
                <w:szCs w:val="21"/>
              </w:rPr>
            </w:pPr>
            <w:r>
              <w:rPr>
                <w:rFonts w:hint="eastAsia" w:ascii="宋体" w:hAnsi="宋体" w:eastAsia="宋体" w:cs="宋体"/>
                <w:b/>
                <w:bCs/>
                <w:sz w:val="21"/>
                <w:szCs w:val="21"/>
              </w:rPr>
              <w:t>工作任务</w:t>
            </w:r>
          </w:p>
        </w:tc>
        <w:tc>
          <w:tcPr>
            <w:tcW w:w="8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color w:val="000000"/>
                <w:sz w:val="21"/>
                <w:szCs w:val="21"/>
              </w:rPr>
            </w:pPr>
            <w:r>
              <w:rPr>
                <w:rFonts w:hint="eastAsia" w:ascii="宋体" w:hAnsi="宋体" w:eastAsia="宋体" w:cs="宋体"/>
                <w:b/>
                <w:bCs/>
                <w:sz w:val="21"/>
                <w:szCs w:val="21"/>
              </w:rPr>
              <w:t>具体内容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b/>
                <w:bCs/>
                <w:sz w:val="21"/>
                <w:szCs w:val="21"/>
              </w:rPr>
              <w:t>牵头单位</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b/>
                <w:bCs/>
                <w:color w:val="000000"/>
                <w:sz w:val="21"/>
                <w:szCs w:val="21"/>
              </w:rPr>
              <w:t>配合单位</w:t>
            </w:r>
          </w:p>
        </w:tc>
      </w:tr>
      <w:tr>
        <w:tblPrEx>
          <w:tblLayout w:type="fixed"/>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34</w:t>
            </w:r>
          </w:p>
        </w:tc>
        <w:tc>
          <w:tcPr>
            <w:tcW w:w="1134"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宋体"/>
                <w:sz w:val="21"/>
                <w:szCs w:val="21"/>
              </w:rPr>
            </w:pPr>
            <w:r>
              <w:rPr>
                <w:rFonts w:hint="eastAsia" w:ascii="黑体" w:hAnsi="黑体" w:eastAsia="黑体" w:cs="宋体"/>
                <w:sz w:val="21"/>
                <w:szCs w:val="21"/>
              </w:rPr>
              <w:t>再造审批流程</w:t>
            </w:r>
          </w:p>
        </w:tc>
        <w:tc>
          <w:tcPr>
            <w:tcW w:w="8930" w:type="dxa"/>
            <w:tcBorders>
              <w:top w:val="single" w:color="auto" w:sz="4" w:space="0"/>
              <w:left w:val="nil"/>
              <w:bottom w:val="single" w:color="auto" w:sz="4" w:space="0"/>
              <w:right w:val="single" w:color="auto" w:sz="4" w:space="0"/>
            </w:tcBorders>
            <w:shd w:val="clear" w:color="auto" w:fill="auto"/>
            <w:vAlign w:val="center"/>
          </w:tcPr>
          <w:p>
            <w:pPr>
              <w:spacing w:before="0" w:after="0" w:line="240" w:lineRule="auto"/>
              <w:rPr>
                <w:rFonts w:ascii="宋体" w:hAnsi="宋体" w:eastAsia="宋体" w:cs="宋体"/>
                <w:color w:val="000000"/>
                <w:sz w:val="21"/>
                <w:szCs w:val="21"/>
              </w:rPr>
            </w:pPr>
            <w:r>
              <w:rPr>
                <w:rFonts w:hint="eastAsia" w:ascii="宋体" w:hAnsi="宋体" w:eastAsia="宋体" w:cs="宋体"/>
                <w:color w:val="000000"/>
                <w:sz w:val="21"/>
                <w:szCs w:val="21"/>
              </w:rPr>
              <w:t>将工程质量、安全监督手续和施工许可证核发等3个事项合并办理。加强事中事后监管，项目开工前，应向相关监督部门办理监督手续。</w:t>
            </w:r>
          </w:p>
        </w:tc>
        <w:tc>
          <w:tcPr>
            <w:tcW w:w="1134" w:type="dxa"/>
            <w:tcBorders>
              <w:top w:val="single" w:color="auto" w:sz="4" w:space="0"/>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市建委</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29"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35</w:t>
            </w:r>
          </w:p>
        </w:tc>
        <w:tc>
          <w:tcPr>
            <w:tcW w:w="1134" w:type="dxa"/>
            <w:vMerge w:val="continue"/>
            <w:tcBorders>
              <w:left w:val="single" w:color="auto" w:sz="4" w:space="0"/>
              <w:right w:val="single" w:color="auto" w:sz="4" w:space="0"/>
            </w:tcBorders>
            <w:vAlign w:val="center"/>
          </w:tcPr>
          <w:p>
            <w:pPr>
              <w:spacing w:line="240" w:lineRule="auto"/>
              <w:jc w:val="center"/>
              <w:rPr>
                <w:rFonts w:ascii="黑体" w:hAnsi="黑体" w:eastAsia="黑体" w:cs="宋体"/>
                <w:sz w:val="21"/>
                <w:szCs w:val="21"/>
              </w:rPr>
            </w:pPr>
          </w:p>
        </w:tc>
        <w:tc>
          <w:tcPr>
            <w:tcW w:w="8930" w:type="dxa"/>
            <w:tcBorders>
              <w:top w:val="single" w:color="auto" w:sz="4" w:space="0"/>
              <w:left w:val="nil"/>
              <w:bottom w:val="single" w:color="auto" w:sz="4" w:space="0"/>
              <w:right w:val="single" w:color="auto" w:sz="4" w:space="0"/>
            </w:tcBorders>
            <w:shd w:val="clear" w:color="auto" w:fill="auto"/>
            <w:vAlign w:val="center"/>
          </w:tcPr>
          <w:p>
            <w:pPr>
              <w:pStyle w:val="5"/>
              <w:widowControl/>
              <w:snapToGrid w:val="0"/>
              <w:spacing w:before="0" w:beforeAutospacing="0" w:after="0" w:afterAutospacing="0"/>
              <w:jc w:val="both"/>
              <w:rPr>
                <w:rFonts w:ascii="宋体" w:hAnsi="宋体" w:cs="宋体"/>
                <w:color w:val="000000"/>
                <w:sz w:val="21"/>
                <w:szCs w:val="21"/>
              </w:rPr>
            </w:pPr>
            <w:r>
              <w:rPr>
                <w:rFonts w:hint="eastAsia" w:ascii="宋体" w:hAnsi="宋体" w:cs="宋体"/>
                <w:color w:val="000000"/>
                <w:sz w:val="21"/>
                <w:szCs w:val="21"/>
              </w:rPr>
              <w:t>取消“人防审查意见”作为办理施工许可证的前置条件，对施工许可证核发、人防防护设计审查予以并联办理。</w:t>
            </w:r>
          </w:p>
        </w:tc>
        <w:tc>
          <w:tcPr>
            <w:tcW w:w="1134" w:type="dxa"/>
            <w:tcBorders>
              <w:top w:val="single" w:color="auto" w:sz="4" w:space="0"/>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市建委、市人防办</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39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36</w:t>
            </w:r>
          </w:p>
        </w:tc>
        <w:tc>
          <w:tcPr>
            <w:tcW w:w="1134" w:type="dxa"/>
            <w:vMerge w:val="continue"/>
            <w:tcBorders>
              <w:left w:val="single" w:color="auto" w:sz="4" w:space="0"/>
              <w:right w:val="single" w:color="auto" w:sz="4" w:space="0"/>
            </w:tcBorders>
            <w:vAlign w:val="center"/>
          </w:tcPr>
          <w:p>
            <w:pPr>
              <w:jc w:val="center"/>
              <w:rPr>
                <w:rFonts w:ascii="黑体" w:hAnsi="黑体" w:eastAsia="黑体" w:cs="宋体"/>
                <w:sz w:val="21"/>
                <w:szCs w:val="21"/>
              </w:rPr>
            </w:pPr>
          </w:p>
        </w:tc>
        <w:tc>
          <w:tcPr>
            <w:tcW w:w="8930"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宋体" w:hAnsi="宋体" w:eastAsia="宋体" w:cs="宋体"/>
                <w:color w:val="000000"/>
                <w:sz w:val="21"/>
                <w:szCs w:val="21"/>
              </w:rPr>
            </w:pPr>
            <w:r>
              <w:rPr>
                <w:rFonts w:hint="eastAsia" w:ascii="宋体" w:hAnsi="宋体" w:eastAsia="宋体" w:cs="宋体"/>
                <w:color w:val="000000"/>
                <w:sz w:val="21"/>
                <w:szCs w:val="21"/>
              </w:rPr>
              <w:t>推行“多图一审”。建立设计方案合并审查机制，除根据相关法规需由消防部门组织评审论证及审查的特殊项目外，将房屋建筑、市政工程与建设、规划、消防、人防、通信等部门相关的技术审查，统一委托同一家施工图审查机构开展</w:t>
            </w:r>
            <w:r>
              <w:rPr>
                <w:rFonts w:hint="eastAsia" w:ascii="宋体" w:hAnsi="宋体" w:eastAsia="宋体" w:cs="宋体"/>
                <w:sz w:val="21"/>
                <w:szCs w:val="21"/>
              </w:rPr>
              <w:t>。施</w:t>
            </w:r>
            <w:r>
              <w:rPr>
                <w:rFonts w:hint="eastAsia" w:ascii="宋体" w:hAnsi="宋体" w:eastAsia="宋体" w:cs="宋体"/>
                <w:color w:val="000000"/>
                <w:sz w:val="21"/>
                <w:szCs w:val="21"/>
              </w:rPr>
              <w:t>工图审查机构按法律法规设定权限，根据相关技术标准及各部门制定的审查要点开展审查，将审查结果按时推送给相关部门，原则上审查时限不超过15个工作日。各相关部门根据施工图审查机构意见，作出相应的行政许可决定。</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市建委</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市规划局、市消防支队、市人防办、图审服务机构</w:t>
            </w:r>
          </w:p>
        </w:tc>
      </w:tr>
      <w:tr>
        <w:tblPrEx>
          <w:tblLayout w:type="fixed"/>
          <w:tblCellMar>
            <w:top w:w="0" w:type="dxa"/>
            <w:left w:w="108" w:type="dxa"/>
            <w:bottom w:w="0" w:type="dxa"/>
            <w:right w:w="108" w:type="dxa"/>
          </w:tblCellMar>
        </w:tblPrEx>
        <w:trPr>
          <w:trHeight w:val="118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37</w:t>
            </w:r>
          </w:p>
        </w:tc>
        <w:tc>
          <w:tcPr>
            <w:tcW w:w="1134" w:type="dxa"/>
            <w:vMerge w:val="continue"/>
            <w:tcBorders>
              <w:left w:val="single" w:color="auto" w:sz="4" w:space="0"/>
              <w:right w:val="single" w:color="auto" w:sz="4" w:space="0"/>
            </w:tcBorders>
            <w:vAlign w:val="center"/>
          </w:tcPr>
          <w:p>
            <w:pPr>
              <w:spacing w:line="240" w:lineRule="auto"/>
              <w:jc w:val="center"/>
              <w:rPr>
                <w:rFonts w:ascii="黑体" w:hAnsi="黑体" w:eastAsia="黑体" w:cs="宋体"/>
                <w:sz w:val="21"/>
                <w:szCs w:val="21"/>
              </w:rPr>
            </w:pPr>
          </w:p>
        </w:tc>
        <w:tc>
          <w:tcPr>
            <w:tcW w:w="8930"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s="宋体"/>
                <w:color w:val="000000"/>
                <w:sz w:val="21"/>
                <w:szCs w:val="21"/>
              </w:rPr>
            </w:pPr>
            <w:r>
              <w:rPr>
                <w:rFonts w:hint="eastAsia" w:ascii="宋体" w:hAnsi="宋体" w:eastAsia="宋体" w:cs="宋体"/>
                <w:color w:val="000000"/>
                <w:sz w:val="21"/>
                <w:szCs w:val="21"/>
              </w:rPr>
              <w:t>竣工验收阶段由建设部门牵头，建设管理审批事项主要包括规划、消防、人防等验收及竣工验收备案等</w:t>
            </w:r>
            <w:r>
              <w:rPr>
                <w:rFonts w:hint="eastAsia" w:ascii="宋体" w:hAnsi="宋体" w:eastAsia="宋体" w:cs="宋体"/>
                <w:b/>
                <w:bCs/>
                <w:color w:val="000000"/>
                <w:sz w:val="21"/>
                <w:szCs w:val="21"/>
              </w:rPr>
              <w:t>。</w:t>
            </w:r>
            <w:r>
              <w:rPr>
                <w:rFonts w:hint="eastAsia" w:ascii="宋体" w:hAnsi="宋体" w:eastAsia="宋体" w:cs="宋体"/>
                <w:sz w:val="21"/>
                <w:szCs w:val="21"/>
              </w:rPr>
              <w:t>社会投资项目、政府投资房建类项目8个工作日内办结，政府投资市政类项目3个工作日内办结。</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市建委</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市规划局、市国土局、市消防支队、市人防办，水、电、气、广电网络等公用服务企业，该阶段其他事项责任单位</w:t>
            </w:r>
          </w:p>
        </w:tc>
      </w:tr>
      <w:tr>
        <w:tblPrEx>
          <w:tblLayout w:type="fixed"/>
          <w:tblCellMar>
            <w:top w:w="0" w:type="dxa"/>
            <w:left w:w="108" w:type="dxa"/>
            <w:bottom w:w="0" w:type="dxa"/>
            <w:right w:w="108" w:type="dxa"/>
          </w:tblCellMar>
        </w:tblPrEx>
        <w:trPr>
          <w:trHeight w:val="10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38</w:t>
            </w:r>
          </w:p>
        </w:tc>
        <w:tc>
          <w:tcPr>
            <w:tcW w:w="1134" w:type="dxa"/>
            <w:vMerge w:val="continue"/>
            <w:tcBorders>
              <w:left w:val="single" w:color="auto" w:sz="4" w:space="0"/>
              <w:right w:val="single" w:color="auto" w:sz="4" w:space="0"/>
            </w:tcBorders>
            <w:vAlign w:val="center"/>
          </w:tcPr>
          <w:p>
            <w:pPr>
              <w:spacing w:line="240" w:lineRule="auto"/>
              <w:jc w:val="center"/>
              <w:rPr>
                <w:rFonts w:ascii="黑体" w:hAnsi="黑体" w:eastAsia="黑体" w:cs="宋体"/>
                <w:sz w:val="21"/>
                <w:szCs w:val="21"/>
              </w:rPr>
            </w:pPr>
          </w:p>
        </w:tc>
        <w:tc>
          <w:tcPr>
            <w:tcW w:w="8930"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s="宋体"/>
                <w:color w:val="000000"/>
                <w:sz w:val="21"/>
                <w:szCs w:val="21"/>
              </w:rPr>
            </w:pPr>
            <w:r>
              <w:rPr>
                <w:rFonts w:hint="eastAsia" w:ascii="宋体" w:hAnsi="宋体" w:eastAsia="宋体" w:cs="宋体"/>
                <w:color w:val="000000"/>
                <w:sz w:val="21"/>
                <w:szCs w:val="21"/>
              </w:rPr>
              <w:t>推行“多测合一”。将工程项目建设涉及的国土、规划等测绘事项（包括</w:t>
            </w:r>
            <w:r>
              <w:rPr>
                <w:rFonts w:hint="eastAsia" w:ascii="宋体" w:hAnsi="宋体" w:eastAsia="宋体" w:cs="宋体"/>
                <w:sz w:val="21"/>
                <w:szCs w:val="21"/>
              </w:rPr>
              <w:t>动工前的拨地测量、</w:t>
            </w:r>
            <w:r>
              <w:rPr>
                <w:rFonts w:hint="eastAsia" w:ascii="宋体" w:hAnsi="宋体" w:eastAsia="宋体" w:cs="宋体"/>
                <w:color w:val="000000"/>
                <w:sz w:val="21"/>
                <w:szCs w:val="21"/>
              </w:rPr>
              <w:t>建筑放验线测量以及验收时的规划监管测量、土地核验测量等），合并为一个综合性联合测绘项目工程包，采用国家规定的测绘基准、测绘系统坐标，执行国家、省相关测绘技术标准和测绘收费规定，实行“一次委托、统一测绘、成果共享”。鼓励引导建设单位将行政审批测绘服务委托一家测绘中介服务机构提供。</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市国土局</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市规划局、市不动产登记交易中心、测绘服务机构</w:t>
            </w:r>
          </w:p>
        </w:tc>
      </w:tr>
      <w:tr>
        <w:tblPrEx>
          <w:tblLayout w:type="fixed"/>
          <w:tblCellMar>
            <w:top w:w="0" w:type="dxa"/>
            <w:left w:w="108" w:type="dxa"/>
            <w:bottom w:w="0" w:type="dxa"/>
            <w:right w:w="108" w:type="dxa"/>
          </w:tblCellMar>
        </w:tblPrEx>
        <w:trPr>
          <w:trHeight w:val="9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39</w:t>
            </w:r>
          </w:p>
        </w:tc>
        <w:tc>
          <w:tcPr>
            <w:tcW w:w="1134" w:type="dxa"/>
            <w:vMerge w:val="continue"/>
            <w:tcBorders>
              <w:left w:val="single" w:color="auto" w:sz="4" w:space="0"/>
              <w:bottom w:val="single" w:color="auto" w:sz="4" w:space="0"/>
              <w:right w:val="single" w:color="auto" w:sz="4" w:space="0"/>
            </w:tcBorders>
            <w:vAlign w:val="center"/>
          </w:tcPr>
          <w:p>
            <w:pPr>
              <w:spacing w:line="240" w:lineRule="auto"/>
              <w:rPr>
                <w:rFonts w:ascii="黑体" w:hAnsi="黑体" w:eastAsia="黑体" w:cs="宋体"/>
                <w:sz w:val="21"/>
                <w:szCs w:val="21"/>
              </w:rPr>
            </w:pPr>
          </w:p>
        </w:tc>
        <w:tc>
          <w:tcPr>
            <w:tcW w:w="8930"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s="宋体"/>
                <w:color w:val="000000"/>
                <w:sz w:val="21"/>
                <w:szCs w:val="21"/>
              </w:rPr>
            </w:pPr>
            <w:r>
              <w:rPr>
                <w:rFonts w:hint="eastAsia" w:ascii="宋体" w:hAnsi="宋体" w:eastAsia="宋体" w:cs="宋体"/>
                <w:color w:val="000000"/>
                <w:sz w:val="21"/>
                <w:szCs w:val="21"/>
              </w:rPr>
              <w:t>实行竣工限时联合验收。建设项目竣工后，各相关部门不再单独开展质量竣工验收监督及专项竣工验收，由建设部门牵头，组织规划、消防、人防部门统一进行现场查验,统一限时出具验收意见。建设单位应在竣工限时联合验收合格意见出具后15日内，办理竣工验收备案。竣工验收备案由3个工作日压减为即办。</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市建委</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市规划局、市消防支队、市人防办</w:t>
            </w:r>
          </w:p>
        </w:tc>
      </w:tr>
      <w:tr>
        <w:tblPrEx>
          <w:tblLayout w:type="fixed"/>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b/>
                <w:bCs/>
                <w:sz w:val="21"/>
                <w:szCs w:val="21"/>
              </w:rPr>
              <w:t>序号</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黑体" w:hAnsi="黑体" w:eastAsia="黑体" w:cs="宋体"/>
                <w:sz w:val="21"/>
                <w:szCs w:val="21"/>
              </w:rPr>
            </w:pPr>
            <w:r>
              <w:rPr>
                <w:rFonts w:hint="eastAsia" w:ascii="宋体" w:hAnsi="宋体" w:eastAsia="宋体" w:cs="宋体"/>
                <w:b/>
                <w:bCs/>
                <w:sz w:val="21"/>
                <w:szCs w:val="21"/>
              </w:rPr>
              <w:t>工作任务</w:t>
            </w:r>
          </w:p>
        </w:tc>
        <w:tc>
          <w:tcPr>
            <w:tcW w:w="8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color w:val="000000"/>
                <w:sz w:val="21"/>
                <w:szCs w:val="21"/>
              </w:rPr>
            </w:pPr>
            <w:r>
              <w:rPr>
                <w:rFonts w:hint="eastAsia" w:ascii="宋体" w:hAnsi="宋体" w:eastAsia="宋体" w:cs="宋体"/>
                <w:b/>
                <w:bCs/>
                <w:sz w:val="21"/>
                <w:szCs w:val="21"/>
              </w:rPr>
              <w:t>具体内容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b/>
                <w:bCs/>
                <w:sz w:val="21"/>
                <w:szCs w:val="21"/>
              </w:rPr>
              <w:t>牵头单位</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b/>
                <w:bCs/>
                <w:color w:val="000000"/>
                <w:sz w:val="21"/>
                <w:szCs w:val="21"/>
              </w:rPr>
              <w:t>配合单位</w:t>
            </w:r>
          </w:p>
        </w:tc>
      </w:tr>
      <w:tr>
        <w:tblPrEx>
          <w:tblLayout w:type="fixed"/>
          <w:tblCellMar>
            <w:top w:w="0" w:type="dxa"/>
            <w:left w:w="108" w:type="dxa"/>
            <w:bottom w:w="0" w:type="dxa"/>
            <w:right w:w="108" w:type="dxa"/>
          </w:tblCellMar>
        </w:tblPrEx>
        <w:trPr>
          <w:trHeight w:val="99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40</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黑体" w:hAnsi="黑体" w:eastAsia="黑体" w:cs="宋体"/>
                <w:sz w:val="21"/>
                <w:szCs w:val="21"/>
              </w:rPr>
            </w:pPr>
            <w:r>
              <w:rPr>
                <w:rFonts w:hint="eastAsia" w:ascii="黑体" w:hAnsi="黑体" w:eastAsia="黑体" w:cs="宋体"/>
                <w:sz w:val="21"/>
                <w:szCs w:val="21"/>
              </w:rPr>
              <w:t>再造审批流程</w:t>
            </w:r>
          </w:p>
        </w:tc>
        <w:tc>
          <w:tcPr>
            <w:tcW w:w="8930"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宋体" w:hAnsi="宋体" w:eastAsia="宋体" w:cs="宋体"/>
                <w:sz w:val="21"/>
                <w:szCs w:val="21"/>
              </w:rPr>
            </w:pPr>
            <w:r>
              <w:rPr>
                <w:rFonts w:hint="eastAsia" w:ascii="宋体" w:hAnsi="宋体" w:eastAsia="宋体" w:cs="宋体"/>
                <w:sz w:val="21"/>
                <w:szCs w:val="21"/>
              </w:rPr>
              <w:t>供水、供电、供气、广电网络等公用服务企业应提前介入服务。水、电验收与竣工限时联合验收同步完成；燃气、广电网络接入市政干管，完成施工。</w:t>
            </w:r>
          </w:p>
        </w:tc>
        <w:tc>
          <w:tcPr>
            <w:tcW w:w="1134" w:type="dxa"/>
            <w:tcBorders>
              <w:top w:val="single" w:color="auto" w:sz="4" w:space="0"/>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市行政（市民）服务中心管委会</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市自来水公司、福州供电公司、市华润燃气公司、市广电网络公司</w:t>
            </w:r>
          </w:p>
        </w:tc>
      </w:tr>
      <w:tr>
        <w:tblPrEx>
          <w:tblLayout w:type="fixed"/>
          <w:tblCellMar>
            <w:top w:w="0" w:type="dxa"/>
            <w:left w:w="108" w:type="dxa"/>
            <w:bottom w:w="0" w:type="dxa"/>
            <w:right w:w="108" w:type="dxa"/>
          </w:tblCellMar>
        </w:tblPrEx>
        <w:trPr>
          <w:trHeight w:val="162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41</w:t>
            </w:r>
          </w:p>
        </w:tc>
        <w:tc>
          <w:tcPr>
            <w:tcW w:w="1134" w:type="dxa"/>
            <w:vMerge w:val="restart"/>
            <w:tcBorders>
              <w:top w:val="single" w:color="auto" w:sz="4" w:space="0"/>
              <w:left w:val="single" w:color="auto" w:sz="4" w:space="0"/>
              <w:right w:val="single" w:color="auto" w:sz="4" w:space="0"/>
            </w:tcBorders>
            <w:shd w:val="clear" w:color="auto" w:fill="auto"/>
            <w:vAlign w:val="center"/>
          </w:tcPr>
          <w:p>
            <w:pPr>
              <w:spacing w:line="240" w:lineRule="auto"/>
              <w:jc w:val="center"/>
              <w:rPr>
                <w:rFonts w:ascii="黑体" w:hAnsi="黑体" w:eastAsia="黑体" w:cs="宋体"/>
                <w:sz w:val="21"/>
                <w:szCs w:val="21"/>
              </w:rPr>
            </w:pPr>
            <w:r>
              <w:rPr>
                <w:rFonts w:hint="eastAsia" w:ascii="黑体" w:hAnsi="黑体" w:eastAsia="黑体" w:cs="宋体"/>
                <w:sz w:val="21"/>
                <w:szCs w:val="21"/>
              </w:rPr>
              <w:t>小型工程建设项目实行快速审批</w:t>
            </w:r>
          </w:p>
        </w:tc>
        <w:tc>
          <w:tcPr>
            <w:tcW w:w="8930"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宋体" w:hAnsi="宋体" w:eastAsia="宋体" w:cs="宋体"/>
                <w:sz w:val="21"/>
                <w:szCs w:val="21"/>
              </w:rPr>
            </w:pPr>
            <w:r>
              <w:rPr>
                <w:rFonts w:hint="eastAsia" w:ascii="宋体" w:hAnsi="宋体" w:eastAsia="宋体" w:cs="宋体"/>
                <w:sz w:val="21"/>
                <w:szCs w:val="21"/>
              </w:rPr>
              <w:t>立项用地规划许可阶段（阶段审批总时限2个工作日）：依法经“招拍挂”程序取得国有建设用地使用权的竞得人，无需申请核发建设用地规划许可证。以划拨方式取得国有土地使用权的建设项目，可同时向发改部门申请项目备案、向规划部门申报建设用地规划许可证等有关手续。</w:t>
            </w:r>
          </w:p>
        </w:tc>
        <w:tc>
          <w:tcPr>
            <w:tcW w:w="1134" w:type="dxa"/>
            <w:tcBorders>
              <w:top w:val="single" w:color="auto" w:sz="4" w:space="0"/>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市发改委</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市国土局、市规划局</w:t>
            </w:r>
          </w:p>
        </w:tc>
      </w:tr>
      <w:tr>
        <w:tblPrEx>
          <w:tblLayout w:type="fixed"/>
          <w:tblCellMar>
            <w:top w:w="0" w:type="dxa"/>
            <w:left w:w="108" w:type="dxa"/>
            <w:bottom w:w="0" w:type="dxa"/>
            <w:right w:w="108" w:type="dxa"/>
          </w:tblCellMar>
        </w:tblPrEx>
        <w:trPr>
          <w:trHeight w:val="213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42</w:t>
            </w:r>
          </w:p>
        </w:tc>
        <w:tc>
          <w:tcPr>
            <w:tcW w:w="1134" w:type="dxa"/>
            <w:vMerge w:val="continue"/>
            <w:tcBorders>
              <w:left w:val="single" w:color="auto" w:sz="4" w:space="0"/>
              <w:right w:val="single" w:color="auto" w:sz="4" w:space="0"/>
            </w:tcBorders>
            <w:vAlign w:val="center"/>
          </w:tcPr>
          <w:p>
            <w:pPr>
              <w:spacing w:line="240" w:lineRule="auto"/>
              <w:rPr>
                <w:rFonts w:ascii="黑体" w:hAnsi="黑体" w:eastAsia="黑体" w:cs="宋体"/>
                <w:sz w:val="21"/>
                <w:szCs w:val="21"/>
              </w:rPr>
            </w:pPr>
          </w:p>
        </w:tc>
        <w:tc>
          <w:tcPr>
            <w:tcW w:w="8930"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s="宋体"/>
                <w:sz w:val="21"/>
                <w:szCs w:val="21"/>
              </w:rPr>
            </w:pPr>
            <w:r>
              <w:rPr>
                <w:rFonts w:hint="eastAsia" w:ascii="宋体" w:hAnsi="宋体" w:eastAsia="宋体" w:cs="宋体"/>
                <w:sz w:val="21"/>
                <w:szCs w:val="21"/>
              </w:rPr>
              <w:t xml:space="preserve">工程建设许可和施工许可并联审批阶段（阶段审批总时限4个工作日）：建设项目完成规划设计方案审查及“多图一审”后，行政服务中心管委会统一收件，规划和建设部门并联审批，分别核发建设工程规划许可证、施工许可证。 </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市行政（市民）服务中心管委会、市规划局、市建委</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市消防支队、市人防办</w:t>
            </w:r>
          </w:p>
        </w:tc>
      </w:tr>
      <w:tr>
        <w:tblPrEx>
          <w:tblLayout w:type="fixed"/>
          <w:tblCellMar>
            <w:top w:w="0" w:type="dxa"/>
            <w:left w:w="108" w:type="dxa"/>
            <w:bottom w:w="0" w:type="dxa"/>
            <w:right w:w="108" w:type="dxa"/>
          </w:tblCellMar>
        </w:tblPrEx>
        <w:trPr>
          <w:trHeight w:val="81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43</w:t>
            </w:r>
          </w:p>
        </w:tc>
        <w:tc>
          <w:tcPr>
            <w:tcW w:w="1134" w:type="dxa"/>
            <w:vMerge w:val="continue"/>
            <w:tcBorders>
              <w:left w:val="single" w:color="auto" w:sz="4" w:space="0"/>
              <w:right w:val="single" w:color="auto" w:sz="4" w:space="0"/>
            </w:tcBorders>
            <w:vAlign w:val="center"/>
          </w:tcPr>
          <w:p>
            <w:pPr>
              <w:spacing w:line="240" w:lineRule="auto"/>
              <w:rPr>
                <w:rFonts w:ascii="黑体" w:hAnsi="黑体" w:eastAsia="黑体" w:cs="宋体"/>
                <w:sz w:val="21"/>
                <w:szCs w:val="21"/>
              </w:rPr>
            </w:pPr>
          </w:p>
        </w:tc>
        <w:tc>
          <w:tcPr>
            <w:tcW w:w="8930" w:type="dxa"/>
            <w:tcBorders>
              <w:top w:val="nil"/>
              <w:left w:val="nil"/>
              <w:bottom w:val="single" w:color="auto" w:sz="4" w:space="0"/>
              <w:right w:val="single" w:color="auto" w:sz="4" w:space="0"/>
            </w:tcBorders>
            <w:shd w:val="clear" w:color="auto" w:fill="auto"/>
            <w:vAlign w:val="center"/>
          </w:tcPr>
          <w:p>
            <w:pPr>
              <w:spacing w:before="0" w:after="0" w:line="240" w:lineRule="exact"/>
              <w:rPr>
                <w:rFonts w:ascii="宋体" w:hAnsi="宋体" w:eastAsia="宋体" w:cs="宋体"/>
                <w:color w:val="000000"/>
                <w:sz w:val="21"/>
                <w:szCs w:val="21"/>
              </w:rPr>
            </w:pPr>
            <w:r>
              <w:rPr>
                <w:rFonts w:hint="eastAsia" w:ascii="宋体" w:hAnsi="宋体" w:eastAsia="宋体" w:cs="宋体"/>
                <w:color w:val="000000"/>
                <w:sz w:val="21"/>
                <w:szCs w:val="21"/>
              </w:rPr>
              <w:t>消防设计审核、人防防护设计审查实行告知承诺制。</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市消防支队、市人防办</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市消防支队、市人防办</w:t>
            </w:r>
          </w:p>
        </w:tc>
      </w:tr>
      <w:tr>
        <w:tblPrEx>
          <w:tblLayout w:type="fixed"/>
          <w:tblCellMar>
            <w:top w:w="0" w:type="dxa"/>
            <w:left w:w="108" w:type="dxa"/>
            <w:bottom w:w="0" w:type="dxa"/>
            <w:right w:w="108" w:type="dxa"/>
          </w:tblCellMar>
        </w:tblPrEx>
        <w:trPr>
          <w:trHeight w:val="103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44</w:t>
            </w:r>
          </w:p>
        </w:tc>
        <w:tc>
          <w:tcPr>
            <w:tcW w:w="1134" w:type="dxa"/>
            <w:vMerge w:val="continue"/>
            <w:tcBorders>
              <w:left w:val="single" w:color="auto" w:sz="4" w:space="0"/>
              <w:right w:val="single" w:color="auto" w:sz="4" w:space="0"/>
            </w:tcBorders>
            <w:vAlign w:val="center"/>
          </w:tcPr>
          <w:p>
            <w:pPr>
              <w:spacing w:line="240" w:lineRule="auto"/>
              <w:rPr>
                <w:rFonts w:ascii="黑体" w:hAnsi="黑体" w:eastAsia="黑体" w:cs="宋体"/>
                <w:sz w:val="21"/>
                <w:szCs w:val="21"/>
              </w:rPr>
            </w:pPr>
          </w:p>
        </w:tc>
        <w:tc>
          <w:tcPr>
            <w:tcW w:w="8930"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s="宋体"/>
                <w:color w:val="000000"/>
                <w:sz w:val="21"/>
                <w:szCs w:val="21"/>
              </w:rPr>
            </w:pPr>
            <w:r>
              <w:rPr>
                <w:rFonts w:hint="eastAsia" w:ascii="宋体" w:hAnsi="宋体" w:eastAsia="宋体" w:cs="宋体"/>
                <w:sz w:val="21"/>
                <w:szCs w:val="21"/>
              </w:rPr>
              <w:t>竣工验收阶段（阶段审批总时限7个工作日）：推行竣工限时联合验收，竣工验收备案事项即办（对涉及建设工程竣工验收消防备案需进行抽查的，被确定为抽查对象的项目按竣工限时联合验收办理，未被确定为抽查对象的项目即办）</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市建委</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市规划局、市消防支队、市人防办</w:t>
            </w:r>
          </w:p>
        </w:tc>
      </w:tr>
      <w:tr>
        <w:tblPrEx>
          <w:tblLayout w:type="fixed"/>
          <w:tblCellMar>
            <w:top w:w="0" w:type="dxa"/>
            <w:left w:w="108" w:type="dxa"/>
            <w:bottom w:w="0" w:type="dxa"/>
            <w:right w:w="108" w:type="dxa"/>
          </w:tblCellMar>
        </w:tblPrEx>
        <w:trPr>
          <w:trHeight w:val="131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45</w:t>
            </w:r>
          </w:p>
        </w:tc>
        <w:tc>
          <w:tcPr>
            <w:tcW w:w="1134" w:type="dxa"/>
            <w:vMerge w:val="continue"/>
            <w:tcBorders>
              <w:left w:val="single" w:color="auto" w:sz="4" w:space="0"/>
              <w:bottom w:val="single" w:color="auto" w:sz="4" w:space="0"/>
              <w:right w:val="single" w:color="auto" w:sz="4" w:space="0"/>
            </w:tcBorders>
            <w:vAlign w:val="center"/>
          </w:tcPr>
          <w:p>
            <w:pPr>
              <w:spacing w:line="240" w:lineRule="auto"/>
              <w:rPr>
                <w:rFonts w:ascii="黑体" w:hAnsi="黑体" w:eastAsia="黑体" w:cs="宋体"/>
                <w:sz w:val="21"/>
                <w:szCs w:val="21"/>
              </w:rPr>
            </w:pPr>
          </w:p>
        </w:tc>
        <w:tc>
          <w:tcPr>
            <w:tcW w:w="8930" w:type="dxa"/>
            <w:tcBorders>
              <w:top w:val="nil"/>
              <w:left w:val="nil"/>
              <w:bottom w:val="single" w:color="auto" w:sz="4" w:space="0"/>
              <w:right w:val="single" w:color="auto" w:sz="4" w:space="0"/>
            </w:tcBorders>
            <w:shd w:val="clear" w:color="auto" w:fill="auto"/>
            <w:vAlign w:val="center"/>
          </w:tcPr>
          <w:p>
            <w:pPr>
              <w:pStyle w:val="5"/>
              <w:widowControl/>
              <w:snapToGrid w:val="0"/>
              <w:spacing w:before="0" w:beforeAutospacing="0" w:after="0" w:afterAutospacing="0"/>
              <w:jc w:val="both"/>
              <w:rPr>
                <w:rFonts w:ascii="宋体" w:hAnsi="宋体" w:cs="宋体"/>
                <w:color w:val="000000"/>
                <w:sz w:val="21"/>
                <w:szCs w:val="21"/>
              </w:rPr>
            </w:pPr>
            <w:r>
              <w:rPr>
                <w:rFonts w:hint="eastAsia" w:ascii="宋体" w:hAnsi="宋体" w:cs="宋体"/>
                <w:color w:val="000000"/>
                <w:sz w:val="21"/>
                <w:szCs w:val="21"/>
              </w:rPr>
              <w:t>小型工程建设项目（不含学校、影剧院、体育场馆项目），建设单位有类似项目管理经验和技术人员，能够保证独立承担工程安全质量责任的，可以不实行工程建设监理。建设单位可以自主决策选择监理或全过程工程咨询服务等其它管理模式。鼓励有条件的建设单位实行自管模式。</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市建委</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907"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b/>
                <w:bCs/>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黑体" w:hAnsi="黑体" w:eastAsia="黑体" w:cs="宋体"/>
                <w:sz w:val="21"/>
                <w:szCs w:val="21"/>
              </w:rPr>
            </w:pPr>
            <w:r>
              <w:rPr>
                <w:rFonts w:hint="eastAsia" w:ascii="宋体" w:hAnsi="宋体" w:eastAsia="宋体" w:cs="宋体"/>
                <w:b/>
                <w:bCs/>
                <w:sz w:val="21"/>
                <w:szCs w:val="21"/>
              </w:rPr>
              <w:t>工作任务</w:t>
            </w:r>
          </w:p>
        </w:tc>
        <w:tc>
          <w:tcPr>
            <w:tcW w:w="8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color w:val="000000"/>
                <w:sz w:val="21"/>
                <w:szCs w:val="21"/>
              </w:rPr>
            </w:pPr>
            <w:r>
              <w:rPr>
                <w:rFonts w:hint="eastAsia" w:ascii="宋体" w:hAnsi="宋体" w:eastAsia="宋体" w:cs="宋体"/>
                <w:b/>
                <w:bCs/>
                <w:sz w:val="21"/>
                <w:szCs w:val="21"/>
              </w:rPr>
              <w:t>具体内容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b/>
                <w:bCs/>
                <w:sz w:val="21"/>
                <w:szCs w:val="21"/>
              </w:rPr>
              <w:t>牵头单位</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b/>
                <w:bCs/>
                <w:color w:val="000000"/>
                <w:sz w:val="21"/>
                <w:szCs w:val="21"/>
              </w:rPr>
              <w:t>配合单位</w:t>
            </w:r>
          </w:p>
        </w:tc>
      </w:tr>
      <w:tr>
        <w:tblPrEx>
          <w:tblLayout w:type="fixed"/>
          <w:tblCellMar>
            <w:top w:w="0" w:type="dxa"/>
            <w:left w:w="108" w:type="dxa"/>
            <w:bottom w:w="0" w:type="dxa"/>
            <w:right w:w="108" w:type="dxa"/>
          </w:tblCellMar>
        </w:tblPrEx>
        <w:trPr>
          <w:trHeight w:val="1102"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46</w:t>
            </w:r>
          </w:p>
        </w:tc>
        <w:tc>
          <w:tcPr>
            <w:tcW w:w="1134" w:type="dxa"/>
            <w:vMerge w:val="restart"/>
            <w:tcBorders>
              <w:top w:val="single" w:color="auto" w:sz="4" w:space="0"/>
              <w:left w:val="single" w:color="auto" w:sz="4" w:space="0"/>
              <w:right w:val="single" w:color="auto" w:sz="4" w:space="0"/>
            </w:tcBorders>
            <w:shd w:val="clear" w:color="auto" w:fill="auto"/>
            <w:vAlign w:val="center"/>
          </w:tcPr>
          <w:p>
            <w:pPr>
              <w:spacing w:line="240" w:lineRule="auto"/>
              <w:jc w:val="center"/>
              <w:rPr>
                <w:rFonts w:ascii="黑体" w:hAnsi="黑体" w:eastAsia="黑体" w:cs="宋体"/>
                <w:color w:val="000000"/>
                <w:sz w:val="21"/>
                <w:szCs w:val="21"/>
              </w:rPr>
            </w:pPr>
            <w:r>
              <w:rPr>
                <w:rFonts w:hint="eastAsia" w:ascii="黑体" w:hAnsi="黑体" w:eastAsia="黑体" w:cs="宋体"/>
                <w:color w:val="000000"/>
                <w:sz w:val="21"/>
                <w:szCs w:val="21"/>
              </w:rPr>
              <w:t>完善审批体系</w:t>
            </w:r>
          </w:p>
        </w:tc>
        <w:tc>
          <w:tcPr>
            <w:tcW w:w="8930"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宋体" w:hAnsi="宋体" w:eastAsia="宋体" w:cs="宋体"/>
                <w:color w:val="000000"/>
                <w:sz w:val="21"/>
                <w:szCs w:val="21"/>
              </w:rPr>
            </w:pPr>
            <w:r>
              <w:rPr>
                <w:rFonts w:hint="eastAsia" w:ascii="宋体" w:hAnsi="宋体" w:eastAsia="宋体" w:cs="宋体"/>
                <w:color w:val="000000"/>
                <w:sz w:val="21"/>
                <w:szCs w:val="21"/>
              </w:rPr>
              <w:t>“一张蓝图”统筹项目实施。进一步拓展“多规合一”业务协同平台功能，统筹各类规划，完善项目策划生成规则，统一协调各部门提出的项目建设条件，落实建设条件要求，做到项目策划全类型覆盖，策划全过程督查考核。</w:t>
            </w:r>
          </w:p>
        </w:tc>
        <w:tc>
          <w:tcPr>
            <w:tcW w:w="1134" w:type="dxa"/>
            <w:tcBorders>
              <w:top w:val="single" w:color="auto" w:sz="4" w:space="0"/>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市行政（市民）服务中心管委会</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各相关单位</w:t>
            </w:r>
          </w:p>
        </w:tc>
      </w:tr>
      <w:tr>
        <w:tblPrEx>
          <w:tblLayout w:type="fixed"/>
          <w:tblCellMar>
            <w:top w:w="0" w:type="dxa"/>
            <w:left w:w="108" w:type="dxa"/>
            <w:bottom w:w="0" w:type="dxa"/>
            <w:right w:w="108" w:type="dxa"/>
          </w:tblCellMar>
        </w:tblPrEx>
        <w:trPr>
          <w:trHeight w:val="1749"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47</w:t>
            </w:r>
          </w:p>
        </w:tc>
        <w:tc>
          <w:tcPr>
            <w:tcW w:w="1134" w:type="dxa"/>
            <w:vMerge w:val="continue"/>
            <w:tcBorders>
              <w:left w:val="single" w:color="auto" w:sz="4" w:space="0"/>
              <w:right w:val="single" w:color="auto" w:sz="4" w:space="0"/>
            </w:tcBorders>
            <w:vAlign w:val="center"/>
          </w:tcPr>
          <w:p>
            <w:pPr>
              <w:spacing w:line="240" w:lineRule="auto"/>
              <w:jc w:val="center"/>
              <w:rPr>
                <w:rFonts w:ascii="黑体" w:hAnsi="黑体" w:eastAsia="黑体" w:cs="宋体"/>
                <w:color w:val="000000"/>
                <w:sz w:val="21"/>
                <w:szCs w:val="21"/>
              </w:rPr>
            </w:pPr>
          </w:p>
        </w:tc>
        <w:tc>
          <w:tcPr>
            <w:tcW w:w="8930"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宋体" w:hAnsi="宋体" w:eastAsia="宋体" w:cs="宋体"/>
                <w:color w:val="000000"/>
                <w:sz w:val="21"/>
                <w:szCs w:val="21"/>
              </w:rPr>
            </w:pPr>
            <w:r>
              <w:rPr>
                <w:rFonts w:hint="eastAsia" w:ascii="宋体" w:hAnsi="宋体" w:eastAsia="宋体" w:cs="宋体"/>
                <w:color w:val="000000"/>
                <w:sz w:val="21"/>
                <w:szCs w:val="21"/>
              </w:rPr>
              <w:t>“一个系统”实施统一管理。在国家和地方现有信息平台基础上，提升工程建设项目审批管理系统功能及覆盖面，建设“横向到边、纵向到底”的“投资项目审批管理系统”，实现统一受理、并联审批、实时流转、跟踪督办、信息共享。大力推进网上并联申报及审批，强化“投资项目审批管理系统”与“福建省投资项目在线审批监管平台”、“多规合一”业务协同平台、各部门审批管理系统等信息平台的互联互通，做到审批过程、审批结果实时传送。涉密工程按照有关保密要求执行。</w:t>
            </w:r>
          </w:p>
        </w:tc>
        <w:tc>
          <w:tcPr>
            <w:tcW w:w="1134" w:type="dxa"/>
            <w:tcBorders>
              <w:top w:val="single" w:color="auto" w:sz="4" w:space="0"/>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市行政（市民）服务中心管委会</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各相关单位</w:t>
            </w:r>
          </w:p>
        </w:tc>
      </w:tr>
      <w:tr>
        <w:tblPrEx>
          <w:tblLayout w:type="fixed"/>
          <w:tblCellMar>
            <w:top w:w="0" w:type="dxa"/>
            <w:left w:w="108" w:type="dxa"/>
            <w:bottom w:w="0" w:type="dxa"/>
            <w:right w:w="108" w:type="dxa"/>
          </w:tblCellMar>
        </w:tblPrEx>
        <w:trPr>
          <w:trHeight w:val="132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48</w:t>
            </w:r>
          </w:p>
        </w:tc>
        <w:tc>
          <w:tcPr>
            <w:tcW w:w="1134" w:type="dxa"/>
            <w:vMerge w:val="continue"/>
            <w:tcBorders>
              <w:left w:val="single" w:color="auto" w:sz="4" w:space="0"/>
              <w:right w:val="single" w:color="auto" w:sz="4" w:space="0"/>
            </w:tcBorders>
            <w:vAlign w:val="center"/>
          </w:tcPr>
          <w:p>
            <w:pPr>
              <w:spacing w:line="240" w:lineRule="auto"/>
              <w:rPr>
                <w:rFonts w:ascii="黑体" w:hAnsi="黑体" w:eastAsia="黑体" w:cs="宋体"/>
                <w:sz w:val="21"/>
                <w:szCs w:val="21"/>
              </w:rPr>
            </w:pPr>
          </w:p>
        </w:tc>
        <w:tc>
          <w:tcPr>
            <w:tcW w:w="8930"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s="宋体"/>
                <w:color w:val="000000"/>
                <w:sz w:val="21"/>
                <w:szCs w:val="21"/>
              </w:rPr>
            </w:pPr>
            <w:r>
              <w:rPr>
                <w:rFonts w:hint="eastAsia" w:ascii="宋体" w:hAnsi="宋体" w:eastAsia="宋体" w:cs="宋体"/>
                <w:color w:val="000000"/>
                <w:sz w:val="21"/>
                <w:szCs w:val="21"/>
              </w:rPr>
              <w:t>“一个窗口”提升综合服务。进一步完善“前台综合受理、后台分类审批、统一窗口出件”的“一窗受理、集成服务”机制，在原有并联审批综合收发件基础上，进一步整合各部门和公用服务企业分散设立的服务窗口，通过行政服务中心统一收发件窗口收件出件，实现“一个窗口”服务和管理。</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市行政（市民）服务中心管委会</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各相关单位</w:t>
            </w:r>
          </w:p>
        </w:tc>
      </w:tr>
      <w:tr>
        <w:tblPrEx>
          <w:tblLayout w:type="fixed"/>
          <w:tblCellMar>
            <w:top w:w="0" w:type="dxa"/>
            <w:left w:w="108" w:type="dxa"/>
            <w:bottom w:w="0" w:type="dxa"/>
            <w:right w:w="108" w:type="dxa"/>
          </w:tblCellMar>
        </w:tblPrEx>
        <w:trPr>
          <w:trHeight w:val="179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49</w:t>
            </w:r>
          </w:p>
        </w:tc>
        <w:tc>
          <w:tcPr>
            <w:tcW w:w="1134" w:type="dxa"/>
            <w:vMerge w:val="continue"/>
            <w:tcBorders>
              <w:left w:val="single" w:color="auto" w:sz="4" w:space="0"/>
              <w:right w:val="single" w:color="auto" w:sz="4" w:space="0"/>
            </w:tcBorders>
            <w:vAlign w:val="center"/>
          </w:tcPr>
          <w:p>
            <w:pPr>
              <w:spacing w:line="240" w:lineRule="auto"/>
              <w:rPr>
                <w:rFonts w:ascii="黑体" w:hAnsi="黑体" w:eastAsia="黑体" w:cs="宋体"/>
                <w:sz w:val="21"/>
                <w:szCs w:val="21"/>
              </w:rPr>
            </w:pPr>
          </w:p>
        </w:tc>
        <w:tc>
          <w:tcPr>
            <w:tcW w:w="8930"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s="宋体"/>
                <w:color w:val="000000"/>
                <w:sz w:val="21"/>
                <w:szCs w:val="21"/>
              </w:rPr>
            </w:pPr>
            <w:r>
              <w:rPr>
                <w:rFonts w:hint="eastAsia" w:ascii="宋体" w:hAnsi="宋体" w:eastAsia="宋体" w:cs="宋体"/>
                <w:color w:val="000000"/>
                <w:sz w:val="21"/>
                <w:szCs w:val="21"/>
              </w:rPr>
              <w:t>“一张表单”整合申报材料。建立各审批阶段“一份办事指南、一张申请表单、一套申报材料、完成多项审批”的运作模式，各审批阶段牵头部门制定统一的办事指南、审查细则和申报表格，每个审批阶段申请人只需提交一套申报材料。强化电子证照生成及调用，不同审批阶段的审批部门通过电子证照、可信文件等共享申报材料，不得要求申请人重复提交。</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市行政（市民）服务中心管委会</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各相关单位</w:t>
            </w:r>
          </w:p>
        </w:tc>
      </w:tr>
      <w:tr>
        <w:tblPrEx>
          <w:tblLayout w:type="fixed"/>
          <w:tblCellMar>
            <w:top w:w="0" w:type="dxa"/>
            <w:left w:w="108" w:type="dxa"/>
            <w:bottom w:w="0" w:type="dxa"/>
            <w:right w:w="108" w:type="dxa"/>
          </w:tblCellMar>
        </w:tblPrEx>
        <w:trPr>
          <w:trHeight w:val="21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50</w:t>
            </w:r>
          </w:p>
        </w:tc>
        <w:tc>
          <w:tcPr>
            <w:tcW w:w="1134" w:type="dxa"/>
            <w:vMerge w:val="continue"/>
            <w:tcBorders>
              <w:left w:val="single" w:color="auto" w:sz="4" w:space="0"/>
              <w:bottom w:val="single" w:color="auto" w:sz="4" w:space="0"/>
              <w:right w:val="single" w:color="auto" w:sz="4" w:space="0"/>
            </w:tcBorders>
            <w:shd w:val="clear" w:color="auto" w:fill="auto"/>
            <w:vAlign w:val="center"/>
          </w:tcPr>
          <w:p>
            <w:pPr>
              <w:spacing w:line="240" w:lineRule="auto"/>
              <w:jc w:val="center"/>
              <w:rPr>
                <w:rFonts w:ascii="黑体" w:hAnsi="黑体" w:eastAsia="黑体" w:cs="宋体"/>
                <w:color w:val="000000"/>
                <w:sz w:val="21"/>
                <w:szCs w:val="21"/>
              </w:rPr>
            </w:pPr>
          </w:p>
        </w:tc>
        <w:tc>
          <w:tcPr>
            <w:tcW w:w="8930"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宋体" w:hAnsi="宋体" w:eastAsia="宋体" w:cs="宋体"/>
                <w:color w:val="000000"/>
                <w:sz w:val="21"/>
                <w:szCs w:val="21"/>
              </w:rPr>
            </w:pPr>
            <w:r>
              <w:rPr>
                <w:rFonts w:hint="eastAsia" w:ascii="宋体" w:hAnsi="宋体" w:eastAsia="宋体" w:cs="宋体"/>
                <w:color w:val="000000"/>
                <w:sz w:val="21"/>
                <w:szCs w:val="21"/>
              </w:rPr>
              <w:t>“一套机制”规范审批运行。持续建立健全工程建设项目审批配套制度，明确部门职责，明晰工作规程，规范审批行为，确保审批各阶段、各环节无缝衔接。建立审批协调机制，协调解决部门意见分歧。建立督办督查制度，实时跟踪审批办理情况，对全过程实施督查。</w:t>
            </w:r>
          </w:p>
        </w:tc>
        <w:tc>
          <w:tcPr>
            <w:tcW w:w="1134" w:type="dxa"/>
            <w:tcBorders>
              <w:top w:val="single" w:color="auto" w:sz="4" w:space="0"/>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市行政（市民）服务中心管委会</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各相关单位</w:t>
            </w:r>
          </w:p>
        </w:tc>
      </w:tr>
      <w:tr>
        <w:tblPrEx>
          <w:tblLayout w:type="fixed"/>
          <w:tblCellMar>
            <w:top w:w="0" w:type="dxa"/>
            <w:left w:w="108" w:type="dxa"/>
            <w:bottom w:w="0" w:type="dxa"/>
            <w:right w:w="108" w:type="dxa"/>
          </w:tblCellMar>
        </w:tblPrEx>
        <w:trPr>
          <w:trHeight w:val="75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b/>
                <w:bCs/>
                <w:sz w:val="21"/>
                <w:szCs w:val="21"/>
              </w:rPr>
              <w:t>序号</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黑体" w:hAnsi="黑体" w:eastAsia="黑体" w:cs="宋体"/>
                <w:sz w:val="21"/>
                <w:szCs w:val="21"/>
              </w:rPr>
            </w:pPr>
            <w:r>
              <w:rPr>
                <w:rFonts w:hint="eastAsia" w:ascii="宋体" w:hAnsi="宋体" w:eastAsia="宋体" w:cs="宋体"/>
                <w:b/>
                <w:bCs/>
                <w:sz w:val="21"/>
                <w:szCs w:val="21"/>
              </w:rPr>
              <w:t>工作任务</w:t>
            </w:r>
          </w:p>
        </w:tc>
        <w:tc>
          <w:tcPr>
            <w:tcW w:w="893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b/>
                <w:bCs/>
                <w:sz w:val="21"/>
                <w:szCs w:val="21"/>
              </w:rPr>
              <w:t>具体内容</w:t>
            </w:r>
          </w:p>
        </w:tc>
        <w:tc>
          <w:tcPr>
            <w:tcW w:w="1134" w:type="dxa"/>
            <w:tcBorders>
              <w:top w:val="single" w:color="auto" w:sz="4" w:space="0"/>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b/>
                <w:bCs/>
                <w:sz w:val="21"/>
                <w:szCs w:val="21"/>
              </w:rPr>
              <w:t>牵头单位</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b/>
                <w:bCs/>
                <w:color w:val="000000"/>
                <w:sz w:val="21"/>
                <w:szCs w:val="21"/>
              </w:rPr>
              <w:t>配合单位</w:t>
            </w:r>
          </w:p>
        </w:tc>
      </w:tr>
      <w:tr>
        <w:tblPrEx>
          <w:tblLayout w:type="fixed"/>
          <w:tblCellMar>
            <w:top w:w="0" w:type="dxa"/>
            <w:left w:w="108" w:type="dxa"/>
            <w:bottom w:w="0" w:type="dxa"/>
            <w:right w:w="108" w:type="dxa"/>
          </w:tblCellMar>
        </w:tblPrEx>
        <w:trPr>
          <w:trHeight w:val="11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51</w:t>
            </w:r>
          </w:p>
        </w:tc>
        <w:tc>
          <w:tcPr>
            <w:tcW w:w="1134" w:type="dxa"/>
            <w:vMerge w:val="restart"/>
            <w:tcBorders>
              <w:top w:val="single" w:color="auto" w:sz="4" w:space="0"/>
              <w:left w:val="single" w:color="auto" w:sz="4" w:space="0"/>
              <w:right w:val="single" w:color="auto" w:sz="4" w:space="0"/>
            </w:tcBorders>
            <w:shd w:val="clear" w:color="auto" w:fill="auto"/>
            <w:vAlign w:val="center"/>
          </w:tcPr>
          <w:p>
            <w:pPr>
              <w:spacing w:line="240" w:lineRule="auto"/>
              <w:jc w:val="center"/>
              <w:rPr>
                <w:rFonts w:ascii="黑体" w:hAnsi="黑体" w:eastAsia="黑体" w:cs="宋体"/>
                <w:sz w:val="21"/>
                <w:szCs w:val="21"/>
              </w:rPr>
            </w:pPr>
            <w:r>
              <w:rPr>
                <w:rFonts w:hint="eastAsia" w:ascii="黑体" w:hAnsi="黑体" w:eastAsia="黑体" w:cs="宋体"/>
                <w:sz w:val="21"/>
                <w:szCs w:val="21"/>
              </w:rPr>
              <w:t>强化审批监管</w:t>
            </w:r>
          </w:p>
        </w:tc>
        <w:tc>
          <w:tcPr>
            <w:tcW w:w="8930"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宋体" w:hAnsi="宋体" w:eastAsia="宋体" w:cs="宋体"/>
                <w:sz w:val="21"/>
                <w:szCs w:val="21"/>
              </w:rPr>
            </w:pPr>
            <w:r>
              <w:rPr>
                <w:rFonts w:hint="eastAsia" w:ascii="宋体" w:hAnsi="宋体" w:eastAsia="宋体" w:cs="宋体"/>
                <w:sz w:val="21"/>
                <w:szCs w:val="21"/>
              </w:rPr>
              <w:t>规范中介技术服务。对投资建设项目审批涉及的中介服务事项进行全面清理，对清理规范后保留为投资项目审批中介技术服务事项，实行清单管理，明确项目名称、设置依据、服务时限、服务标准，形成办事指南并全面公开。督促中介技术服务机构建立健全收费公示制度，加快形成市场开放、竞争有序、执业规范、收费合理、服务高效的中介服务市场。提升“中介服务网上超市”服务功能，汇集并公开在我市开展中介技术服务的中介技术服务机构情况、服务供购、通知公告等信息。引导鼓励工程建设项目进入网上中介服务大厅运行, 强化对工程建设项目中介服务事项的监管。</w:t>
            </w:r>
          </w:p>
        </w:tc>
        <w:tc>
          <w:tcPr>
            <w:tcW w:w="1134" w:type="dxa"/>
            <w:tcBorders>
              <w:top w:val="single" w:color="auto" w:sz="4" w:space="0"/>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市行政（市民）服务中心管委会</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各相关单位</w:t>
            </w:r>
          </w:p>
        </w:tc>
      </w:tr>
      <w:tr>
        <w:tblPrEx>
          <w:tblLayout w:type="fixed"/>
          <w:tblCellMar>
            <w:top w:w="0" w:type="dxa"/>
            <w:left w:w="108" w:type="dxa"/>
            <w:bottom w:w="0" w:type="dxa"/>
            <w:right w:w="108" w:type="dxa"/>
          </w:tblCellMar>
        </w:tblPrEx>
        <w:trPr>
          <w:trHeight w:val="16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52</w:t>
            </w:r>
          </w:p>
        </w:tc>
        <w:tc>
          <w:tcPr>
            <w:tcW w:w="1134" w:type="dxa"/>
            <w:vMerge w:val="continue"/>
            <w:tcBorders>
              <w:left w:val="single" w:color="auto" w:sz="4" w:space="0"/>
              <w:right w:val="single" w:color="auto" w:sz="4" w:space="0"/>
            </w:tcBorders>
            <w:vAlign w:val="center"/>
          </w:tcPr>
          <w:p>
            <w:pPr>
              <w:spacing w:line="240" w:lineRule="auto"/>
              <w:rPr>
                <w:rFonts w:ascii="黑体" w:hAnsi="黑体" w:eastAsia="黑体" w:cs="宋体"/>
                <w:sz w:val="21"/>
                <w:szCs w:val="21"/>
              </w:rPr>
            </w:pPr>
          </w:p>
        </w:tc>
        <w:tc>
          <w:tcPr>
            <w:tcW w:w="8930"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s="宋体"/>
                <w:sz w:val="21"/>
                <w:szCs w:val="21"/>
              </w:rPr>
            </w:pPr>
            <w:r>
              <w:rPr>
                <w:rFonts w:hint="eastAsia" w:ascii="宋体" w:hAnsi="宋体" w:eastAsia="宋体" w:cs="宋体"/>
                <w:sz w:val="21"/>
                <w:szCs w:val="21"/>
              </w:rPr>
              <w:t>深化告知承诺制审批。按照“政府定标准、企业作承诺、过程强监管、信用有奖惩”要求，探索推进企业投资承诺制改革。对符合标准的社会投资项目，由企业自主选择并按照政府制定的标准作出具有法律效力的书面承诺，并进行公示。企业作出承诺后依法依规自主开展设计、施工等相关工作。政府相关部门对项目推进过程进行必要监管，把控重要监管节点，跟踪企业在承诺时间节点前完成承诺内容情况，并把重要节点的监管信息纳入监管平台。政府相关部门对照标准依法依规进行项目验收，通过验收的项目投入使用，达不到要求的项目不得交付。</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市行政（市民）服务中心管委会</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各相关单位</w:t>
            </w:r>
          </w:p>
        </w:tc>
      </w:tr>
      <w:tr>
        <w:tblPrEx>
          <w:tblLayout w:type="fixed"/>
          <w:tblCellMar>
            <w:top w:w="0" w:type="dxa"/>
            <w:left w:w="108" w:type="dxa"/>
            <w:bottom w:w="0" w:type="dxa"/>
            <w:right w:w="108" w:type="dxa"/>
          </w:tblCellMar>
        </w:tblPrEx>
        <w:trPr>
          <w:trHeight w:val="8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53</w:t>
            </w:r>
          </w:p>
        </w:tc>
        <w:tc>
          <w:tcPr>
            <w:tcW w:w="1134" w:type="dxa"/>
            <w:vMerge w:val="continue"/>
            <w:tcBorders>
              <w:left w:val="single" w:color="auto" w:sz="4" w:space="0"/>
              <w:right w:val="single" w:color="auto" w:sz="4" w:space="0"/>
            </w:tcBorders>
            <w:vAlign w:val="center"/>
          </w:tcPr>
          <w:p>
            <w:pPr>
              <w:spacing w:line="240" w:lineRule="auto"/>
              <w:rPr>
                <w:rFonts w:ascii="黑体" w:hAnsi="黑体" w:eastAsia="黑体" w:cs="宋体"/>
                <w:sz w:val="21"/>
                <w:szCs w:val="21"/>
              </w:rPr>
            </w:pPr>
          </w:p>
        </w:tc>
        <w:tc>
          <w:tcPr>
            <w:tcW w:w="8930"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s="宋体"/>
                <w:color w:val="000000"/>
                <w:sz w:val="21"/>
                <w:szCs w:val="21"/>
              </w:rPr>
            </w:pPr>
            <w:r>
              <w:rPr>
                <w:rFonts w:hint="eastAsia" w:ascii="宋体" w:hAnsi="宋体" w:eastAsia="宋体" w:cs="宋体"/>
                <w:color w:val="000000"/>
                <w:sz w:val="21"/>
                <w:szCs w:val="21"/>
              </w:rPr>
              <w:t>强化事中事后监管。建立与工程建设项目审批制度改革相适应的监管体系。全面落实“双随机、一公开”监管机制，严肃查处违法违规行为。建立基于不同风险级别的项目监管检查机制，加大对高风险项目的监管力度。</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市行政（市民）服务中心管委会</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各相关单位</w:t>
            </w:r>
          </w:p>
        </w:tc>
      </w:tr>
      <w:tr>
        <w:tblPrEx>
          <w:tblLayout w:type="fixed"/>
          <w:tblCellMar>
            <w:top w:w="0" w:type="dxa"/>
            <w:left w:w="108" w:type="dxa"/>
            <w:bottom w:w="0" w:type="dxa"/>
            <w:right w:w="108" w:type="dxa"/>
          </w:tblCellMar>
        </w:tblPrEx>
        <w:trPr>
          <w:trHeight w:val="8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54</w:t>
            </w:r>
          </w:p>
        </w:tc>
        <w:tc>
          <w:tcPr>
            <w:tcW w:w="1134" w:type="dxa"/>
            <w:vMerge w:val="continue"/>
            <w:tcBorders>
              <w:left w:val="single" w:color="auto" w:sz="4" w:space="0"/>
              <w:bottom w:val="single" w:color="auto" w:sz="4" w:space="0"/>
              <w:right w:val="single" w:color="auto" w:sz="4" w:space="0"/>
            </w:tcBorders>
            <w:vAlign w:val="center"/>
          </w:tcPr>
          <w:p>
            <w:pPr>
              <w:spacing w:line="240" w:lineRule="auto"/>
              <w:rPr>
                <w:rFonts w:ascii="黑体" w:hAnsi="黑体" w:eastAsia="黑体" w:cs="宋体"/>
                <w:sz w:val="21"/>
                <w:szCs w:val="21"/>
              </w:rPr>
            </w:pPr>
          </w:p>
        </w:tc>
        <w:tc>
          <w:tcPr>
            <w:tcW w:w="8930"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推进信用体系建设。加大对诚信主体激励和失信主体惩戒力度，建立“黑名单”制度，将企业和从业人员违法违规、不履行承诺的行为列入“黑名单”并向社会公开，构建“一处失信、处处受限”的联合奖惩机制，推进“信用福州”建设。</w:t>
            </w:r>
          </w:p>
        </w:tc>
        <w:tc>
          <w:tcPr>
            <w:tcW w:w="1134" w:type="dxa"/>
            <w:tcBorders>
              <w:top w:val="nil"/>
              <w:left w:val="nil"/>
              <w:bottom w:val="single" w:color="auto" w:sz="4" w:space="0"/>
              <w:right w:val="nil"/>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市行政（市民）服务中心管委会</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各相关单位</w:t>
            </w:r>
          </w:p>
        </w:tc>
      </w:tr>
      <w:tr>
        <w:tblPrEx>
          <w:tblLayout w:type="fixed"/>
          <w:tblCellMar>
            <w:top w:w="0" w:type="dxa"/>
            <w:left w:w="108" w:type="dxa"/>
            <w:bottom w:w="0" w:type="dxa"/>
            <w:right w:w="108" w:type="dxa"/>
          </w:tblCellMar>
        </w:tblPrEx>
        <w:trPr>
          <w:trHeight w:val="9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55</w:t>
            </w:r>
          </w:p>
        </w:tc>
        <w:tc>
          <w:tcPr>
            <w:tcW w:w="1134" w:type="dxa"/>
            <w:tcBorders>
              <w:top w:val="single" w:color="auto" w:sz="4" w:space="0"/>
              <w:left w:val="single" w:color="auto" w:sz="4" w:space="0"/>
              <w:bottom w:val="single" w:color="000000" w:sz="4" w:space="0"/>
              <w:right w:val="single" w:color="auto" w:sz="4" w:space="0"/>
            </w:tcBorders>
            <w:vAlign w:val="center"/>
          </w:tcPr>
          <w:p>
            <w:pPr>
              <w:rPr>
                <w:rFonts w:ascii="黑体" w:hAnsi="黑体" w:eastAsia="黑体" w:cs="宋体"/>
                <w:sz w:val="21"/>
                <w:szCs w:val="21"/>
              </w:rPr>
            </w:pPr>
            <w:r>
              <w:rPr>
                <w:rFonts w:hint="eastAsia" w:ascii="黑体" w:hAnsi="黑体" w:eastAsia="黑体" w:cs="宋体"/>
                <w:sz w:val="21"/>
                <w:szCs w:val="21"/>
              </w:rPr>
              <w:t>交通水利项目改革</w:t>
            </w:r>
          </w:p>
        </w:tc>
        <w:tc>
          <w:tcPr>
            <w:tcW w:w="8930"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s="宋体"/>
                <w:color w:val="000000"/>
                <w:sz w:val="21"/>
                <w:szCs w:val="21"/>
              </w:rPr>
            </w:pPr>
            <w:r>
              <w:rPr>
                <w:rFonts w:hint="eastAsia" w:ascii="宋体" w:hAnsi="宋体" w:eastAsia="宋体" w:cs="宋体"/>
                <w:color w:val="auto"/>
                <w:sz w:val="21"/>
                <w:szCs w:val="21"/>
                <w:highlight w:val="none"/>
                <w:shd w:val="clear" w:color="auto" w:fill="auto"/>
              </w:rPr>
              <w:t>交通工程项目，审批时间压缩60%以上，减至90个工作日以内；水利工程项目审批时间由目前平均260个工作日减至90个工作日以内。</w:t>
            </w:r>
            <w:ins w:id="0" w:author="张世颖" w:date="2018-11-29T09:49:00Z">
              <w:r>
                <w:rPr>
                  <w:rFonts w:hint="eastAsia" w:ascii="宋体" w:hAnsi="宋体" w:eastAsia="宋体" w:cs="宋体"/>
                  <w:color w:val="auto"/>
                  <w:sz w:val="21"/>
                  <w:szCs w:val="21"/>
                  <w:highlight w:val="none"/>
                  <w:shd w:val="clear" w:color="auto" w:fill="auto"/>
                </w:rPr>
                <w:t>市交通委、市水利局</w:t>
              </w:r>
            </w:ins>
            <w:r>
              <w:rPr>
                <w:rFonts w:hint="eastAsia" w:ascii="宋体" w:hAnsi="宋体" w:eastAsia="宋体" w:cs="宋体"/>
                <w:color w:val="auto"/>
                <w:sz w:val="21"/>
                <w:szCs w:val="21"/>
                <w:highlight w:val="none"/>
                <w:shd w:val="clear" w:color="auto" w:fill="auto"/>
              </w:rPr>
              <w:t>根据《福建省人民政府办公厅关于推进全省工程建设项目审批制度改革的若干意见》（闽政办[2018]87号）精神，</w:t>
            </w:r>
            <w:ins w:id="1" w:author="张世颖" w:date="2018-11-29T09:49:00Z">
              <w:r>
                <w:rPr>
                  <w:rFonts w:hint="eastAsia" w:ascii="宋体" w:hAnsi="宋体" w:eastAsia="宋体" w:cs="宋体"/>
                  <w:color w:val="auto"/>
                  <w:sz w:val="21"/>
                  <w:szCs w:val="21"/>
                  <w:highlight w:val="none"/>
                  <w:shd w:val="clear" w:color="auto" w:fill="auto"/>
                </w:rPr>
                <w:t>分别制定福州市交通工程项目、水利工程项目审批制度改革</w:t>
              </w:r>
            </w:ins>
            <w:r>
              <w:rPr>
                <w:rFonts w:hint="eastAsia" w:ascii="宋体" w:hAnsi="宋体" w:eastAsia="宋体" w:cs="宋体"/>
                <w:color w:val="auto"/>
                <w:sz w:val="21"/>
                <w:szCs w:val="21"/>
                <w:highlight w:val="none"/>
                <w:shd w:val="clear" w:color="auto" w:fill="auto"/>
              </w:rPr>
              <w:t>具体</w:t>
            </w:r>
            <w:ins w:id="2" w:author="张世颖" w:date="2018-11-29T09:49:00Z">
              <w:r>
                <w:rPr>
                  <w:rFonts w:hint="eastAsia" w:ascii="宋体" w:hAnsi="宋体" w:eastAsia="宋体" w:cs="宋体"/>
                  <w:color w:val="auto"/>
                  <w:sz w:val="21"/>
                  <w:szCs w:val="21"/>
                  <w:highlight w:val="none"/>
                  <w:shd w:val="clear" w:color="auto" w:fill="auto"/>
                </w:rPr>
                <w:t>方案，牵头推进相关改革。</w:t>
              </w:r>
            </w:ins>
          </w:p>
        </w:tc>
        <w:tc>
          <w:tcPr>
            <w:tcW w:w="1134" w:type="dxa"/>
            <w:tcBorders>
              <w:top w:val="nil"/>
              <w:left w:val="nil"/>
              <w:bottom w:val="single" w:color="auto" w:sz="4" w:space="0"/>
              <w:right w:val="nil"/>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市交通委、市水利局</w:t>
            </w:r>
          </w:p>
        </w:tc>
        <w:tc>
          <w:tcPr>
            <w:tcW w:w="311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各相关单位</w:t>
            </w:r>
          </w:p>
        </w:tc>
      </w:tr>
    </w:tbl>
    <w:p>
      <w:pPr>
        <w:spacing w:line="240" w:lineRule="auto"/>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0000000000000000000"/>
    <w:charset w:val="86"/>
    <w:family w:val="roman"/>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50B19"/>
    <w:rsid w:val="000521F2"/>
    <w:rsid w:val="00162A72"/>
    <w:rsid w:val="001A1F94"/>
    <w:rsid w:val="001B14A2"/>
    <w:rsid w:val="001D3AE2"/>
    <w:rsid w:val="0024043C"/>
    <w:rsid w:val="002D62EA"/>
    <w:rsid w:val="003474E2"/>
    <w:rsid w:val="004606DC"/>
    <w:rsid w:val="005372FB"/>
    <w:rsid w:val="00555709"/>
    <w:rsid w:val="00571B2F"/>
    <w:rsid w:val="00590C0A"/>
    <w:rsid w:val="00604D82"/>
    <w:rsid w:val="0062348C"/>
    <w:rsid w:val="006E37FD"/>
    <w:rsid w:val="00770236"/>
    <w:rsid w:val="007D21E0"/>
    <w:rsid w:val="007D7B1C"/>
    <w:rsid w:val="00854362"/>
    <w:rsid w:val="00881038"/>
    <w:rsid w:val="0099349B"/>
    <w:rsid w:val="00A50B19"/>
    <w:rsid w:val="00A634D3"/>
    <w:rsid w:val="00A72190"/>
    <w:rsid w:val="00B1180A"/>
    <w:rsid w:val="00B1670E"/>
    <w:rsid w:val="00B530B1"/>
    <w:rsid w:val="00B5545B"/>
    <w:rsid w:val="00B6493C"/>
    <w:rsid w:val="00D851DA"/>
    <w:rsid w:val="00DE5977"/>
    <w:rsid w:val="00E06E33"/>
    <w:rsid w:val="00E569CE"/>
    <w:rsid w:val="00E97401"/>
    <w:rsid w:val="00F62061"/>
    <w:rsid w:val="00FA5FFC"/>
    <w:rsid w:val="00FE3C9C"/>
    <w:rsid w:val="02FB0EB9"/>
    <w:rsid w:val="03C5565A"/>
    <w:rsid w:val="08813E77"/>
    <w:rsid w:val="08DA4CF6"/>
    <w:rsid w:val="0DA428F2"/>
    <w:rsid w:val="160E2315"/>
    <w:rsid w:val="16505B61"/>
    <w:rsid w:val="183F5F38"/>
    <w:rsid w:val="18D11803"/>
    <w:rsid w:val="1BCE7CA4"/>
    <w:rsid w:val="1EBE5726"/>
    <w:rsid w:val="28DE3A61"/>
    <w:rsid w:val="2D192DEE"/>
    <w:rsid w:val="46AE6AC2"/>
    <w:rsid w:val="48D1451A"/>
    <w:rsid w:val="4D270CC1"/>
    <w:rsid w:val="58233A72"/>
    <w:rsid w:val="5D7417D4"/>
    <w:rsid w:val="67EA4D6D"/>
    <w:rsid w:val="6A5F1A2E"/>
    <w:rsid w:val="72EE305B"/>
    <w:rsid w:val="7B6E595C"/>
    <w:rsid w:val="7D396349"/>
    <w:rsid w:val="7F937EED"/>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after="200" w:line="276" w:lineRule="auto"/>
    </w:pPr>
    <w:rPr>
      <w:rFonts w:asciiTheme="minorHAnsi" w:hAnsiTheme="minorHAnsi" w:eastAsiaTheme="minorEastAsia" w:cstheme="minorBidi"/>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unhideWhenUsed/>
    <w:qFormat/>
    <w:uiPriority w:val="99"/>
    <w:pPr>
      <w:spacing w:beforeAutospacing="1" w:after="120" w:line="480" w:lineRule="auto"/>
      <w:ind w:left="200" w:leftChars="200"/>
    </w:pPr>
  </w:style>
  <w:style w:type="paragraph" w:styleId="3">
    <w:name w:val="footer"/>
    <w:basedOn w:val="1"/>
    <w:link w:val="9"/>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qFormat/>
    <w:uiPriority w:val="0"/>
    <w:pPr>
      <w:widowControl w:val="0"/>
      <w:spacing w:beforeAutospacing="1" w:after="100" w:afterAutospacing="1" w:line="240" w:lineRule="auto"/>
    </w:pPr>
    <w:rPr>
      <w:rFonts w:ascii="Calibri" w:hAnsi="Calibri" w:eastAsia="宋体" w:cs="Times New Roman"/>
      <w:sz w:val="24"/>
      <w:szCs w:val="24"/>
    </w:rPr>
  </w:style>
  <w:style w:type="character" w:customStyle="1" w:styleId="8">
    <w:name w:val="页眉 Char"/>
    <w:basedOn w:val="6"/>
    <w:link w:val="4"/>
    <w:qFormat/>
    <w:uiPriority w:val="99"/>
    <w:rPr>
      <w:kern w:val="0"/>
      <w:sz w:val="18"/>
      <w:szCs w:val="18"/>
    </w:rPr>
  </w:style>
  <w:style w:type="character" w:customStyle="1" w:styleId="9">
    <w:name w:val="页脚 Char"/>
    <w:basedOn w:val="6"/>
    <w:link w:val="3"/>
    <w:qFormat/>
    <w:uiPriority w:val="99"/>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31E1A8-9935-417D-9969-85DD12065470}">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1179</Words>
  <Characters>6724</Characters>
  <Lines>56</Lines>
  <Paragraphs>15</Paragraphs>
  <ScaleCrop>false</ScaleCrop>
  <LinksUpToDate>false</LinksUpToDate>
  <CharactersWithSpaces>7888</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2018-11-11T08:50:00Z</dcterms:created>
  <dc:creator>LXW</dc:creator>
  <cp:lastModifiedBy>张世颖</cp:lastModifiedBy>
  <cp:lastPrinted>2018-11-11T03:33:00Z</cp:lastPrinted>
  <dcterms:modified xsi:type="dcterms:W3CDTF">2018-12-05T06:44:32Z</dcterms:modified>
  <dc:title> </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