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5"/>
        <w:tblpPr w:leftFromText="180" w:rightFromText="180" w:vertAnchor="text" w:horzAnchor="page" w:tblpX="1633" w:tblpY="153"/>
        <w:tblOverlap w:val="never"/>
        <w:tblW w:w="13995" w:type="dxa"/>
        <w:tblInd w:w="0" w:type="dxa"/>
        <w:tblLayout w:type="fixed"/>
        <w:tblCellMar>
          <w:top w:w="0" w:type="dxa"/>
          <w:left w:w="108" w:type="dxa"/>
          <w:bottom w:w="0" w:type="dxa"/>
          <w:right w:w="108" w:type="dxa"/>
        </w:tblCellMar>
      </w:tblPr>
      <w:tblGrid>
        <w:gridCol w:w="768"/>
        <w:gridCol w:w="3840"/>
        <w:gridCol w:w="4275"/>
        <w:gridCol w:w="2940"/>
        <w:gridCol w:w="2172"/>
      </w:tblGrid>
      <w:tr>
        <w:tblPrEx>
          <w:tblLayout w:type="fixed"/>
          <w:tblCellMar>
            <w:top w:w="0" w:type="dxa"/>
            <w:left w:w="108" w:type="dxa"/>
            <w:bottom w:w="0" w:type="dxa"/>
            <w:right w:w="108" w:type="dxa"/>
          </w:tblCellMar>
        </w:tblPrEx>
        <w:trPr>
          <w:trHeight w:val="624" w:hRule="atLeast"/>
        </w:trPr>
        <w:tc>
          <w:tcPr>
            <w:tcW w:w="13995" w:type="dxa"/>
            <w:gridSpan w:val="5"/>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Courier New" w:hAnsi="Courier New" w:cs="Courier New"/>
                <w:b/>
                <w:bCs/>
                <w:kern w:val="0"/>
                <w:sz w:val="32"/>
                <w:szCs w:val="32"/>
              </w:rPr>
            </w:pPr>
            <w:bookmarkStart w:id="0" w:name="_GoBack"/>
            <w:bookmarkEnd w:id="0"/>
            <w:r>
              <w:rPr>
                <w:rFonts w:hint="eastAsia" w:ascii="宋体" w:hAnsi="宋体" w:cs="Courier New"/>
                <w:b/>
                <w:bCs/>
                <w:kern w:val="0"/>
                <w:sz w:val="32"/>
                <w:szCs w:val="32"/>
              </w:rPr>
              <w:t>台江区消防救援大队“双随机、一公开”消防监督抽查计划</w:t>
            </w:r>
            <w:r>
              <w:rPr>
                <w:rFonts w:ascii="Courier New" w:hAnsi="Courier New" w:cs="Courier New"/>
                <w:b/>
                <w:bCs/>
                <w:kern w:val="0"/>
                <w:sz w:val="32"/>
                <w:szCs w:val="32"/>
              </w:rPr>
              <w:t>(</w:t>
            </w:r>
            <w:r>
              <w:rPr>
                <w:rFonts w:hint="eastAsia" w:ascii="Courier New" w:hAnsi="Courier New" w:cs="Courier New"/>
                <w:b/>
                <w:bCs/>
                <w:kern w:val="0"/>
                <w:sz w:val="32"/>
                <w:szCs w:val="32"/>
                <w:lang w:val="en-US" w:eastAsia="zh-CN"/>
              </w:rPr>
              <w:t>10</w:t>
            </w:r>
            <w:r>
              <w:rPr>
                <w:rFonts w:hint="eastAsia" w:ascii="宋体" w:hAnsi="宋体" w:cs="Courier New"/>
                <w:b/>
                <w:bCs/>
                <w:kern w:val="0"/>
                <w:sz w:val="32"/>
                <w:szCs w:val="32"/>
              </w:rPr>
              <w:t>月份</w:t>
            </w:r>
            <w:r>
              <w:rPr>
                <w:rFonts w:ascii="Courier New" w:hAnsi="Courier New" w:cs="Courier New"/>
                <w:b/>
                <w:bCs/>
                <w:kern w:val="0"/>
                <w:sz w:val="32"/>
                <w:szCs w:val="32"/>
              </w:rPr>
              <w:t>)</w:t>
            </w:r>
          </w:p>
        </w:tc>
      </w:tr>
      <w:tr>
        <w:tblPrEx>
          <w:tblLayout w:type="fixed"/>
          <w:tblCellMar>
            <w:top w:w="0" w:type="dxa"/>
            <w:left w:w="108" w:type="dxa"/>
            <w:bottom w:w="0" w:type="dxa"/>
            <w:right w:w="108" w:type="dxa"/>
          </w:tblCellMar>
        </w:tblPrEx>
        <w:trPr>
          <w:trHeight w:val="312" w:hRule="atLeast"/>
        </w:trPr>
        <w:tc>
          <w:tcPr>
            <w:tcW w:w="13995" w:type="dxa"/>
            <w:gridSpan w:val="5"/>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Courier New" w:hAnsi="Courier New" w:cs="Courier New"/>
                <w:b/>
                <w:bCs/>
                <w:kern w:val="0"/>
                <w:sz w:val="22"/>
                <w:szCs w:val="22"/>
              </w:rPr>
            </w:pPr>
          </w:p>
        </w:tc>
      </w:tr>
      <w:tr>
        <w:tblPrEx>
          <w:tblLayout w:type="fixed"/>
          <w:tblCellMar>
            <w:top w:w="0" w:type="dxa"/>
            <w:left w:w="108" w:type="dxa"/>
            <w:bottom w:w="0" w:type="dxa"/>
            <w:right w:w="108" w:type="dxa"/>
          </w:tblCellMar>
        </w:tblPrEx>
        <w:trPr>
          <w:trHeight w:val="315" w:hRule="atLeast"/>
        </w:trPr>
        <w:tc>
          <w:tcPr>
            <w:tcW w:w="76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Courier New" w:hAnsi="Courier New" w:cs="Courier New"/>
                <w:b/>
                <w:bCs/>
                <w:kern w:val="0"/>
                <w:sz w:val="22"/>
                <w:szCs w:val="22"/>
              </w:rPr>
            </w:pPr>
            <w:r>
              <w:rPr>
                <w:rFonts w:ascii="Courier New" w:hAnsi="Courier New" w:cs="Courier New"/>
                <w:b/>
                <w:bCs/>
                <w:kern w:val="0"/>
                <w:sz w:val="22"/>
                <w:szCs w:val="22"/>
              </w:rPr>
              <w:t>序号</w:t>
            </w:r>
          </w:p>
        </w:tc>
        <w:tc>
          <w:tcPr>
            <w:tcW w:w="3840" w:type="dxa"/>
            <w:tcBorders>
              <w:top w:val="single" w:color="000000" w:sz="4" w:space="0"/>
              <w:left w:val="nil"/>
              <w:bottom w:val="single" w:color="000000" w:sz="4" w:space="0"/>
              <w:right w:val="single" w:color="000000" w:sz="4" w:space="0"/>
            </w:tcBorders>
            <w:vAlign w:val="center"/>
          </w:tcPr>
          <w:p>
            <w:pPr>
              <w:widowControl/>
              <w:jc w:val="center"/>
              <w:rPr>
                <w:rFonts w:ascii="Courier New" w:hAnsi="Courier New" w:cs="Courier New"/>
                <w:b/>
                <w:bCs/>
                <w:kern w:val="0"/>
                <w:sz w:val="22"/>
                <w:szCs w:val="22"/>
              </w:rPr>
            </w:pPr>
            <w:r>
              <w:rPr>
                <w:rFonts w:hint="eastAsia" w:ascii="Courier New" w:hAnsi="Courier New" w:cs="Courier New"/>
                <w:b/>
                <w:bCs/>
                <w:kern w:val="0"/>
                <w:sz w:val="22"/>
                <w:szCs w:val="22"/>
              </w:rPr>
              <w:t>检查对象名称</w:t>
            </w:r>
          </w:p>
        </w:tc>
        <w:tc>
          <w:tcPr>
            <w:tcW w:w="4275" w:type="dxa"/>
            <w:tcBorders>
              <w:top w:val="single" w:color="000000" w:sz="4" w:space="0"/>
              <w:left w:val="nil"/>
              <w:bottom w:val="single" w:color="000000" w:sz="4" w:space="0"/>
              <w:right w:val="single" w:color="000000" w:sz="4" w:space="0"/>
            </w:tcBorders>
            <w:vAlign w:val="center"/>
          </w:tcPr>
          <w:p>
            <w:pPr>
              <w:widowControl/>
              <w:jc w:val="center"/>
              <w:rPr>
                <w:rFonts w:ascii="Courier New" w:hAnsi="Courier New" w:cs="Courier New"/>
                <w:b/>
                <w:bCs/>
                <w:kern w:val="0"/>
                <w:sz w:val="22"/>
                <w:szCs w:val="22"/>
              </w:rPr>
            </w:pPr>
            <w:r>
              <w:rPr>
                <w:rFonts w:ascii="Courier New" w:hAnsi="Courier New" w:cs="Courier New"/>
                <w:b/>
                <w:bCs/>
                <w:kern w:val="0"/>
                <w:sz w:val="22"/>
                <w:szCs w:val="22"/>
              </w:rPr>
              <w:t>单位地址</w:t>
            </w:r>
          </w:p>
        </w:tc>
        <w:tc>
          <w:tcPr>
            <w:tcW w:w="2940" w:type="dxa"/>
            <w:tcBorders>
              <w:top w:val="single" w:color="000000" w:sz="4" w:space="0"/>
              <w:left w:val="nil"/>
              <w:bottom w:val="single" w:color="000000" w:sz="4" w:space="0"/>
              <w:right w:val="single" w:color="000000" w:sz="4" w:space="0"/>
            </w:tcBorders>
            <w:vAlign w:val="center"/>
          </w:tcPr>
          <w:p>
            <w:pPr>
              <w:widowControl/>
              <w:jc w:val="center"/>
              <w:rPr>
                <w:rFonts w:ascii="Courier New" w:hAnsi="Courier New" w:cs="Courier New"/>
                <w:b/>
                <w:bCs/>
                <w:kern w:val="0"/>
                <w:sz w:val="22"/>
                <w:szCs w:val="22"/>
              </w:rPr>
            </w:pPr>
            <w:r>
              <w:rPr>
                <w:rFonts w:ascii="Courier New" w:hAnsi="Courier New" w:cs="Courier New"/>
                <w:b/>
                <w:bCs/>
                <w:kern w:val="0"/>
                <w:sz w:val="22"/>
                <w:szCs w:val="22"/>
              </w:rPr>
              <w:t>检查期限</w:t>
            </w:r>
          </w:p>
        </w:tc>
        <w:tc>
          <w:tcPr>
            <w:tcW w:w="2172" w:type="dxa"/>
            <w:tcBorders>
              <w:top w:val="single" w:color="000000" w:sz="4" w:space="0"/>
              <w:left w:val="nil"/>
              <w:bottom w:val="single" w:color="000000" w:sz="4" w:space="0"/>
              <w:right w:val="single" w:color="000000" w:sz="4" w:space="0"/>
            </w:tcBorders>
            <w:vAlign w:val="center"/>
          </w:tcPr>
          <w:p>
            <w:pPr>
              <w:widowControl/>
              <w:jc w:val="center"/>
              <w:rPr>
                <w:rFonts w:ascii="Courier New" w:hAnsi="Courier New" w:cs="Courier New"/>
                <w:b/>
                <w:bCs/>
                <w:kern w:val="0"/>
                <w:sz w:val="22"/>
                <w:szCs w:val="22"/>
              </w:rPr>
            </w:pPr>
            <w:r>
              <w:rPr>
                <w:rFonts w:hint="eastAsia" w:ascii="Courier New" w:hAnsi="Courier New" w:cs="Courier New"/>
                <w:b/>
                <w:bCs/>
                <w:kern w:val="0"/>
                <w:sz w:val="22"/>
                <w:szCs w:val="22"/>
              </w:rPr>
              <w:t>实施</w:t>
            </w:r>
            <w:r>
              <w:rPr>
                <w:rFonts w:ascii="Courier New" w:hAnsi="Courier New" w:cs="Courier New"/>
                <w:b/>
                <w:bCs/>
                <w:kern w:val="0"/>
                <w:sz w:val="22"/>
                <w:szCs w:val="22"/>
              </w:rPr>
              <w:t>检查机构</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福建天萌电子商务有限公司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福建省福州市鳌峰大厦2106室</w:t>
            </w:r>
          </w:p>
        </w:tc>
        <w:tc>
          <w:tcPr>
            <w:tcW w:w="2940"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中国石油化工股份有限公司福建福州长汀加油站</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福州市台江区西二环南路78号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489"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舟山曹操贸易有限公司福州文化宫站</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福州市台江区六一中路聚福园B座103</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台江区鼎翼服饰店</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福州市台江区工业路233号福州苏宁广场</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97"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5</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海西科技金融大厦（福州台江美城环境服务有限公司）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福建省福州市台江区鳌峰街道鳌峰路423号（鳌峰路鳌峰路南侧原龙凤集团地块）</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6</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世茂天成物业服务集团有限公司福州分公司（世茂国际中心）</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福州市台江区广达路108号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7</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福州市台江区动感小汤童装店</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福州市台江区台江路109路元洪锦江一期地下一层64-65号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8</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福州匠心筑梦文化传播有限公司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福建省福州市台江区工业路199号中防万宝城商铺L1层YXL1-055/057号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9</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福建鑫广领航投资有限公司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福州市台江区光明路1号光明港新村7#楼B区1层、3至8层</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10</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福建中医药大学附属人民医院</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福州市台江区八一七路602号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11</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福建青石文化传媒有限公司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福州市台江区江滨中大道363号华班大厦12层</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12</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福建源莱商贸有限公司福州台江区建海新村分公司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福建省福州市台江区瀛洲街道建海新村B#座东侧一层店面</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13</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福建雍熙投资管理有限公司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福州市台江区金融国际中心34层</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9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14</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台江区人民政府办公大楼</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台江区台江路安平一号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684" w:hRule="atLeast"/>
        </w:trPr>
        <w:tc>
          <w:tcPr>
            <w:tcW w:w="768" w:type="dxa"/>
            <w:tcBorders>
              <w:top w:val="nil"/>
              <w:left w:val="single" w:color="000000" w:sz="4" w:space="0"/>
              <w:bottom w:val="single" w:color="auto"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15</w:t>
            </w:r>
          </w:p>
        </w:tc>
        <w:tc>
          <w:tcPr>
            <w:tcW w:w="3840" w:type="dxa"/>
            <w:tcBorders>
              <w:top w:val="nil"/>
              <w:left w:val="nil"/>
              <w:bottom w:val="single" w:color="auto"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石林阁</w:t>
            </w:r>
          </w:p>
        </w:tc>
        <w:tc>
          <w:tcPr>
            <w:tcW w:w="4275" w:type="dxa"/>
            <w:tcBorders>
              <w:top w:val="nil"/>
              <w:left w:val="nil"/>
              <w:bottom w:val="single" w:color="auto"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福建省福州市台江区六一中路378号福州特艺城1层1100店面</w:t>
            </w:r>
          </w:p>
        </w:tc>
        <w:tc>
          <w:tcPr>
            <w:tcW w:w="2940" w:type="dxa"/>
            <w:tcBorders>
              <w:top w:val="nil"/>
              <w:left w:val="nil"/>
              <w:bottom w:val="single" w:color="auto"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auto"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9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16</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台江区林举鞋服店</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台江区中亭街e区一层92店面</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17</w:t>
            </w:r>
          </w:p>
        </w:tc>
        <w:tc>
          <w:tcPr>
            <w:tcW w:w="3840" w:type="dxa"/>
            <w:tcBorders>
              <w:top w:val="single" w:color="auto" w:sz="4" w:space="0"/>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福州市台江区华弟水果店</w:t>
            </w:r>
          </w:p>
        </w:tc>
        <w:tc>
          <w:tcPr>
            <w:tcW w:w="4275" w:type="dxa"/>
            <w:tcBorders>
              <w:top w:val="single" w:color="auto" w:sz="4" w:space="0"/>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福州市台江区长寿路8-9号店面</w:t>
            </w:r>
          </w:p>
        </w:tc>
        <w:tc>
          <w:tcPr>
            <w:tcW w:w="2940" w:type="dxa"/>
            <w:tcBorders>
              <w:top w:val="single" w:color="auto" w:sz="4" w:space="0"/>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18</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福州市台江区深海之境文化艺术交流工作室</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福建省福州市台江区宁化街道工业路199号中防万宝城商铺L2层YXL2-001-3号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19</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福建金融国际中心建设有限公司IFC（北京安信行物业管理有限公司福州分公司）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宁化街道福州市北江滨商务中心B4地块</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20</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群升国际A2#</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福州市台江区学军路1号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21</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福建凯文盛世投资有限公司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江滨西大道B4地块海西金融大厦</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22</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望江园</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23</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台江区止间室内娱乐活动室</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福建省福州市台江区宁化街道工业路199号中防万宝城商铺负一层MSL2-029号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24</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福州铭睿酒店有限公司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 xml:space="preserve">台江区五一中路169号国药大厦2、8-10层（五一中路175号） </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25</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福州市台江区丰霖餐饮有限公司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福建省福州市台江区八一七中路与群众路交叉处君临盛世茶亭地块八商业综合楼地下1层05商店</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26</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福建丰联贸易有限公司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台江区振武路70号福晟钱隆广场20层05-07单元</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354"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27</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台江区开心牧场时尚自助中西餐馆</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福建省福州市台江区鳌峰街道鳌江路8号福州金融街万达广场二期A区商场2层130对外商铺</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429"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28</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福州温泉公贸大酒店有限公司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福州市台江区五一中路188号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29</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福州市台江区中闽文化艺术交流工作室</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台江区jojo沉浸剧情密室(万象九宜城店)工业路中防万宝城商铺夹层XYL2-005号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30</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福州市台江区惜缘商务宾馆</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台江区瀛滨路1号</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000000"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31</w:t>
            </w:r>
          </w:p>
        </w:tc>
        <w:tc>
          <w:tcPr>
            <w:tcW w:w="38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福州万达国际电影城有限公司</w:t>
            </w:r>
          </w:p>
        </w:tc>
        <w:tc>
          <w:tcPr>
            <w:tcW w:w="4275"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台江区鳌峰路金融街万达广场四层</w:t>
            </w:r>
          </w:p>
        </w:tc>
        <w:tc>
          <w:tcPr>
            <w:tcW w:w="2940" w:type="dxa"/>
            <w:tcBorders>
              <w:top w:val="nil"/>
              <w:left w:val="nil"/>
              <w:bottom w:val="single" w:color="000000"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000000"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nil"/>
              <w:left w:val="single" w:color="000000" w:sz="4" w:space="0"/>
              <w:bottom w:val="single" w:color="auto" w:sz="4" w:space="0"/>
              <w:right w:val="single" w:color="000000"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32</w:t>
            </w:r>
          </w:p>
        </w:tc>
        <w:tc>
          <w:tcPr>
            <w:tcW w:w="3840" w:type="dxa"/>
            <w:tcBorders>
              <w:top w:val="nil"/>
              <w:left w:val="nil"/>
              <w:bottom w:val="single" w:color="auto"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福建榕诚时光酒店管理有限公司</w:t>
            </w:r>
          </w:p>
        </w:tc>
        <w:tc>
          <w:tcPr>
            <w:tcW w:w="4275" w:type="dxa"/>
            <w:tcBorders>
              <w:top w:val="nil"/>
              <w:left w:val="nil"/>
              <w:bottom w:val="single" w:color="auto" w:sz="4" w:space="0"/>
              <w:right w:val="single" w:color="000000"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福建省福州市台江区后洲街道三通路13号中亭街改造嘉和苑2#楼六七层</w:t>
            </w:r>
          </w:p>
        </w:tc>
        <w:tc>
          <w:tcPr>
            <w:tcW w:w="2940" w:type="dxa"/>
            <w:tcBorders>
              <w:top w:val="nil"/>
              <w:left w:val="nil"/>
              <w:bottom w:val="single" w:color="auto" w:sz="4" w:space="0"/>
              <w:right w:val="single" w:color="000000"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nil"/>
              <w:left w:val="nil"/>
              <w:bottom w:val="single" w:color="auto" w:sz="4" w:space="0"/>
              <w:right w:val="single" w:color="000000" w:sz="4" w:space="0"/>
            </w:tcBorders>
            <w:vAlign w:val="center"/>
          </w:tcPr>
          <w:p>
            <w:pPr>
              <w:jc w:val="center"/>
              <w:rPr>
                <w:rFonts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33</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福州市台江区博雅易明教育培训中心</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福州市台江区国货路6#楼3层</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34</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福州市台江区时生光影娱乐室</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福建省福州市台江区工业路233号苏宁303号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35</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富闽恒升中心（福建商榕实业有限公司）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福建省福州市台江区鳌峰街道鳌峰路62号富闽时代广场四层413室</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36</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福建中防联博商业管理有限公司（中防万宝）</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福建省福州市台江区宁化街道工业路199号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37</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心家泊3号楼</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台江江滨西大道189号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38</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红星美凯龙麦当劳</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台江区工业路红星美凯龙137号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39</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福建新中冠信息科技集团有限公司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台江区鳌江路与连江中路交叉口红星苑A#16层</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40</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台江区腾晔服饰店</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福建省福州市台江区瀛洲街道台江路95号元洪城地下商场02-B13-B15店面</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41</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 xml:space="preserve"> 福建凯凯体育发展有限公司福州台江工业路分公司 </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 xml:space="preserve">福建省福州市台江区工业路193号福州宝龙广场1#、2#楼连体号楼第三层149、150、151、152商铺 </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42</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福州市台江区聚福缘酒店管理有限公司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福建省福州市台江区五一中路174号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43</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福建融缘和投资有限公司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台江区光明南路1号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44</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榕金大厦</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台江区鳌头路8号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45</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福州市约玩潮娱乐有限公司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台江区鳌峰路与连江路交汇处红星苑三期三层</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46</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福州市台江区墨点美发店</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福州市台江区长寿路</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47</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福州市台江区金酷娱乐有限公司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福州台江区茶亭街道八一七中路与群众路交叉处君临盛世茶亭地块八商业综合楼5层</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48</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福州市台江区佐一保健服务部（原福州市台江区鑫月荷湾养生会所）</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台江区五一中路169号利嘉城二期D区三层</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49</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福州市台江区富力置业有限公司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台江区上浦路东侧闽江北中央商务区</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50</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福州市台江区威美斯娱乐有限公司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default"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福州市台江区宁化街道工业路193号宝龙城市广场迪厅3层01迪厅A-3</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51</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升龙大厦</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鳌峰街道福州市台江区光明南路1号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52</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福建省海峡医疗投资有限公司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福州市五一中路124号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53</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福州融侨商业管理有限公司（福州首开榕泰置业有限公司）</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宁化街道福州市闽江北江滨大道北侧</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54</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福州市台江区珠江钢琴艺术培训中心</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福州市台江区义洲街道工业路173号三迪家居广场三层</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r>
        <w:tblPrEx>
          <w:tblLayout w:type="fixed"/>
          <w:tblCellMar>
            <w:top w:w="0" w:type="dxa"/>
            <w:left w:w="108" w:type="dxa"/>
            <w:bottom w:w="0" w:type="dxa"/>
            <w:right w:w="108" w:type="dxa"/>
          </w:tblCellMar>
        </w:tblPrEx>
        <w:trPr>
          <w:trHeight w:val="270" w:hRule="atLeast"/>
        </w:trPr>
        <w:tc>
          <w:tcPr>
            <w:tcW w:w="7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lang w:val="en-US" w:eastAsia="zh-CN"/>
              </w:rPr>
            </w:pPr>
            <w:r>
              <w:rPr>
                <w:rFonts w:hint="eastAsia" w:ascii="Courier New" w:hAnsi="Courier New" w:cs="Courier New"/>
                <w:kern w:val="0"/>
                <w:sz w:val="20"/>
                <w:szCs w:val="20"/>
                <w:lang w:val="en-US" w:eastAsia="zh-CN"/>
              </w:rPr>
              <w:t>55</w:t>
            </w:r>
          </w:p>
        </w:tc>
        <w:tc>
          <w:tcPr>
            <w:tcW w:w="38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福州宝地广场</w:t>
            </w:r>
          </w:p>
        </w:tc>
        <w:tc>
          <w:tcPr>
            <w:tcW w:w="4275"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val="en-US" w:eastAsia="zh-CN"/>
              </w:rPr>
            </w:pPr>
            <w:r>
              <w:rPr>
                <w:rFonts w:hint="eastAsia" w:ascii="宋体" w:hAnsi="宋体" w:cs="宋体"/>
                <w:b w:val="0"/>
                <w:bCs w:val="0"/>
                <w:sz w:val="15"/>
                <w:szCs w:val="15"/>
                <w:vertAlign w:val="baseline"/>
                <w:lang w:val="en-US" w:eastAsia="zh-CN"/>
              </w:rPr>
              <w:t>台江区江滨中大道380号</w:t>
            </w:r>
          </w:p>
        </w:tc>
        <w:tc>
          <w:tcPr>
            <w:tcW w:w="2940" w:type="dxa"/>
            <w:tcBorders>
              <w:top w:val="single" w:color="auto" w:sz="4" w:space="0"/>
              <w:left w:val="single" w:color="auto" w:sz="4" w:space="0"/>
              <w:bottom w:val="single" w:color="auto" w:sz="4" w:space="0"/>
              <w:right w:val="single" w:color="auto" w:sz="4" w:space="0"/>
            </w:tcBorders>
            <w:textDirection w:val="lrTb"/>
            <w:vAlign w:val="center"/>
          </w:tcPr>
          <w:p>
            <w:pPr>
              <w:jc w:val="center"/>
              <w:rPr>
                <w:rFonts w:hint="eastAsia" w:ascii="Courier New" w:hAnsi="Courier New" w:cs="Courier New"/>
                <w:kern w:val="0"/>
                <w:sz w:val="20"/>
                <w:szCs w:val="20"/>
                <w:lang w:eastAsia="zh-CN"/>
              </w:rPr>
            </w:pPr>
            <w:r>
              <w:rPr>
                <w:rFonts w:hint="eastAsia" w:ascii="Courier New" w:hAnsi="Courier New" w:cs="Courier New"/>
                <w:kern w:val="0"/>
                <w:sz w:val="20"/>
                <w:szCs w:val="20"/>
                <w:lang w:eastAsia="zh-CN"/>
              </w:rPr>
              <w:t>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lang w:eastAsia="zh-CN"/>
              </w:rPr>
              <w:t>-01—202</w:t>
            </w:r>
            <w:r>
              <w:rPr>
                <w:rFonts w:hint="eastAsia" w:ascii="Courier New" w:hAnsi="Courier New" w:cs="Courier New"/>
                <w:kern w:val="0"/>
                <w:sz w:val="20"/>
                <w:szCs w:val="20"/>
                <w:lang w:val="en-US" w:eastAsia="zh-CN"/>
              </w:rPr>
              <w:t>3</w:t>
            </w:r>
            <w:r>
              <w:rPr>
                <w:rFonts w:hint="eastAsia" w:ascii="Courier New" w:hAnsi="Courier New" w:cs="Courier New"/>
                <w:kern w:val="0"/>
                <w:sz w:val="20"/>
                <w:szCs w:val="20"/>
                <w:lang w:eastAsia="zh-CN"/>
              </w:rPr>
              <w:t>-</w:t>
            </w:r>
            <w:r>
              <w:rPr>
                <w:rFonts w:hint="eastAsia" w:ascii="Courier New" w:hAnsi="Courier New" w:cs="Courier New"/>
                <w:kern w:val="0"/>
                <w:sz w:val="20"/>
                <w:szCs w:val="20"/>
                <w:lang w:val="en-US" w:eastAsia="zh-CN"/>
              </w:rPr>
              <w:t>10</w:t>
            </w:r>
            <w:r>
              <w:rPr>
                <w:rFonts w:hint="eastAsia" w:ascii="Courier New" w:hAnsi="Courier New" w:cs="Courier New"/>
                <w:kern w:val="0"/>
                <w:sz w:val="20"/>
                <w:szCs w:val="20"/>
              </w:rPr>
              <w:t>-</w:t>
            </w:r>
            <w:r>
              <w:rPr>
                <w:rFonts w:hint="eastAsia" w:ascii="Courier New" w:hAnsi="Courier New" w:cs="Courier New"/>
                <w:kern w:val="0"/>
                <w:sz w:val="20"/>
                <w:szCs w:val="20"/>
                <w:lang w:val="en-US" w:eastAsia="zh-CN"/>
              </w:rPr>
              <w:t>31</w:t>
            </w:r>
          </w:p>
        </w:tc>
        <w:tc>
          <w:tcPr>
            <w:tcW w:w="21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Courier New" w:hAnsi="Courier New" w:cs="Courier New"/>
                <w:kern w:val="0"/>
                <w:sz w:val="20"/>
                <w:szCs w:val="20"/>
              </w:rPr>
            </w:pPr>
            <w:r>
              <w:rPr>
                <w:rFonts w:hint="eastAsia" w:ascii="Courier New" w:hAnsi="Courier New" w:cs="Courier New"/>
                <w:kern w:val="0"/>
                <w:sz w:val="20"/>
                <w:szCs w:val="20"/>
              </w:rPr>
              <w:t>台江区消防救援大队</w:t>
            </w:r>
          </w:p>
        </w:tc>
      </w:tr>
    </w:tbl>
    <w:p>
      <w:pPr>
        <w:jc w:val="both"/>
        <w:rPr>
          <w:rFonts w:hint="eastAsia" w:ascii="仿宋_GB2312" w:hAnsi="仿宋_GB2312" w:eastAsia="仿宋_GB2312" w:cs="仿宋_GB2312"/>
          <w:kern w:val="0"/>
          <w:sz w:val="32"/>
          <w:szCs w:val="32"/>
          <w:lang w:val="en-US" w:eastAsia="zh-CN" w:bidi="ar-SA"/>
        </w:rPr>
      </w:pPr>
    </w:p>
    <w:p>
      <w:pPr>
        <w:jc w:val="center"/>
        <w:rPr>
          <w:rFonts w:hint="eastAsia" w:ascii="方正小标宋简体" w:hAnsi="方正小标宋简体" w:eastAsia="方正小标宋简体" w:cs="方正小标宋简体"/>
          <w:b w:val="0"/>
          <w:bCs w:val="0"/>
          <w:sz w:val="18"/>
          <w:szCs w:val="18"/>
        </w:rPr>
        <w:sectPr>
          <w:pgSz w:w="16838" w:h="11906" w:orient="landscape"/>
          <w:pgMar w:top="1800" w:right="1440" w:bottom="1800" w:left="1440" w:header="851" w:footer="992" w:gutter="0"/>
          <w:cols w:space="425" w:num="1"/>
          <w:docGrid w:type="lines" w:linePitch="312" w:charSpace="0"/>
        </w:sectPr>
      </w:pPr>
    </w:p>
    <w:p>
      <w:pPr>
        <w:jc w:val="center"/>
        <w:rPr>
          <w:rFonts w:hint="eastAsia" w:ascii="Courier New" w:hAnsi="Courier New" w:cs="Courier New"/>
          <w:kern w:val="0"/>
          <w:sz w:val="20"/>
          <w:szCs w:val="20"/>
          <w:lang w:val="en-US" w:eastAsia="zh-CN"/>
        </w:rPr>
      </w:pPr>
    </w:p>
    <w:p>
      <w:pPr>
        <w:pStyle w:val="3"/>
        <w:rPr>
          <w:rFonts w:hint="eastAsia"/>
        </w:rPr>
      </w:pPr>
    </w:p>
    <w:p>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auto"/>
    <w:pitch w:val="default"/>
    <w:sig w:usb0="800002BF" w:usb1="38CF7CFA" w:usb2="00000016" w:usb3="00000000" w:csb0="00040001"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ourier New">
    <w:panose1 w:val="02070309020205020404"/>
    <w:charset w:val="00"/>
    <w:family w:val="roman"/>
    <w:pitch w:val="default"/>
    <w:sig w:usb0="E0002AFF" w:usb1="C0007843" w:usb2="00000009" w:usb3="00000000" w:csb0="400001FF" w:csb1="FFFF0000"/>
  </w:font>
  <w:font w:name="Tahoma">
    <w:panose1 w:val="020B0604030504040204"/>
    <w:charset w:val="00"/>
    <w:family w:val="modern"/>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Courier New">
    <w:panose1 w:val="02070309020205020404"/>
    <w:charset w:val="00"/>
    <w:family w:val="swiss"/>
    <w:pitch w:val="default"/>
    <w:sig w:usb0="E0002AFF" w:usb1="C0007843" w:usb2="00000009" w:usb3="00000000" w:csb0="400001FF" w:csb1="FFFF0000"/>
  </w:font>
  <w:font w:name="Tahoma">
    <w:panose1 w:val="020B0604030504040204"/>
    <w:charset w:val="00"/>
    <w:family w:val="decorative"/>
    <w:pitch w:val="default"/>
    <w:sig w:usb0="E1002EFF" w:usb1="C000605B" w:usb2="00000029" w:usb3="00000000" w:csb0="200101FF" w:csb1="20280000"/>
  </w:font>
  <w:font w:name="仿宋_GB2312">
    <w:panose1 w:val="02010609030101010101"/>
    <w:charset w:val="86"/>
    <w:family w:val="decorative"/>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Courier New">
    <w:panose1 w:val="02070309020205020404"/>
    <w:charset w:val="00"/>
    <w:family w:val="decorative"/>
    <w:pitch w:val="default"/>
    <w:sig w:usb0="E0002AFF" w:usb1="C0007843" w:usb2="00000009" w:usb3="00000000" w:csb0="400001FF" w:csb1="FFFF0000"/>
  </w:font>
  <w:font w:name="Tahoma">
    <w:panose1 w:val="020B0604030504040204"/>
    <w:charset w:val="00"/>
    <w:family w:val="roman"/>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E2CD8"/>
    <w:rsid w:val="110E7F38"/>
    <w:rsid w:val="15C661E9"/>
    <w:rsid w:val="35F6495C"/>
    <w:rsid w:val="64BD6856"/>
    <w:rsid w:val="65EC367A"/>
    <w:rsid w:val="73BE2CD8"/>
    <w:rsid w:val="745A4E2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alloon Text"/>
    <w:basedOn w:val="1"/>
    <w:next w:val="3"/>
    <w:qFormat/>
    <w:uiPriority w:val="0"/>
    <w:rPr>
      <w:sz w:val="18"/>
      <w:szCs w:val="18"/>
    </w:rPr>
  </w:style>
  <w:style w:type="paragraph" w:customStyle="1" w:styleId="3">
    <w:name w:val="正文缩进311"/>
    <w:next w:val="1"/>
    <w:qFormat/>
    <w:uiPriority w:val="0"/>
    <w:pPr>
      <w:wordWrap w:val="0"/>
      <w:ind w:left="3400"/>
      <w:jc w:val="both"/>
    </w:pPr>
    <w:rPr>
      <w:rFonts w:ascii="Calibri" w:hAnsi="Calibri" w:eastAsia="宋体" w:cs="Times New Roman"/>
      <w:sz w:val="21"/>
      <w:szCs w:val="22"/>
      <w:lang w:val="en-US" w:eastAsia="zh-CN" w:bidi="ar-SA"/>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2023-09-01T07:19:00Z</dcterms:created>
  <dc:creator>Administrator</dc:creator>
  <cp:lastModifiedBy>Administrator</cp:lastModifiedBy>
  <dcterms:modified xsi:type="dcterms:W3CDTF">2023-11-06T02:16:43Z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