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tabs>
          <w:tab w:val="left" w:pos="6480"/>
        </w:tabs>
        <w:adjustRightInd w:val="0"/>
        <w:snapToGrid w:val="0"/>
        <w:spacing w:line="620" w:lineRule="exact"/>
        <w:rPr>
          <w:rFonts w:eastAsia="黑体"/>
          <w:sz w:val="32"/>
          <w:szCs w:val="32"/>
        </w:rPr>
      </w:pPr>
      <w:r>
        <w:rPr>
          <w:rFonts w:eastAsia="黑体"/>
          <w:sz w:val="32"/>
          <w:szCs w:val="32"/>
          <w:lang w:val="zh-CN" w:eastAsia="zh-CN"/>
        </w:rPr>
        <mc:AlternateContent>
          <mc:Choice Requires="wps">
            <w:drawing>
              <wp:anchor distT="0" distB="0" distL="114300" distR="114300" simplePos="0" relativeHeight="251660288" behindDoc="0" locked="1" layoutInCell="1" allowOverlap="1">
                <wp:simplePos x="0" y="0"/>
                <wp:positionH relativeFrom="page">
                  <wp:posOffset>765175</wp:posOffset>
                </wp:positionH>
                <wp:positionV relativeFrom="page">
                  <wp:posOffset>1716405</wp:posOffset>
                </wp:positionV>
                <wp:extent cx="6094730" cy="635"/>
                <wp:effectExtent l="0" t="28575" r="1270" b="46990"/>
                <wp:wrapNone/>
                <wp:docPr id="1" name="直接连接符 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a:xfrm>
                          <a:off x="0" y="0"/>
                          <a:ext cx="6094730" cy="635"/>
                        </a:xfrm>
                        <a:prstGeom prst="line">
                          <a:avLst/>
                        </a:prstGeom>
                        <a:ln w="57150" cap="flat" cmpd="thickThin">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0.25pt;margin-top:135.15pt;height:0.05pt;width:479.9pt;mso-position-horizontal-relative:page;mso-position-vertical-relative:page;z-index:251660288;mso-width-relative:page;mso-height-relative:page;" filled="f" stroked="t" coordsize="21600,21600" o:gfxdata="UEsDBAoAAAAAAIdO4kAAAAAAAAAAAAAAAAAEAAAAZHJzL1BLAwQUAAAACACHTuJAwca6FNUAAAAM&#10;AQAADwAAAGRycy9kb3ducmV2LnhtbE2PMW/CMBCF90r8B+uQ2IqNKQWlcRiQmCnQoaOJjyQiPke2&#10;Q+Df1+nSbvfunt59L98+bMvu6EPjSMFiLoAhlc40VCn4Ou9fN8BC1GR06wgVPDHAtpi85DozbqAj&#10;3k+xYimEQqYV1DF2GeehrNHqMHcdUrpdnbc6JukrbrweUrhtuRTinVvdUPpQ6w53NZa3U28VfK89&#10;ueF4uH4ue3oG2d3OciWUmk0X4gNYxEf8M8OIn9ChSEwX15MJrE1ailWyKpBrsQQ2OsRmnC6/qzfg&#10;Rc7/lyh+AFBLAwQUAAAACACHTuJALgu8kv0BAADcAwAADgAAAGRycy9lMm9Eb2MueG1srVPNbhMx&#10;EL4j8Q6W72Q3LUlhlU2FEsKlgkotDzCxvbtW/SfbzSYvwQsgcYNTj9x5G8pjMHa2KYELQuxhZHs+&#10;f55vvtnZ+VYrshE+SGtqOh6VlAjDLJemren769WzF5SECIaDskbUdCcCPZ8/fTLrXSVObGcVF54g&#10;iQlV72raxeiqogisExrCyDphMNlYryHi1rcF99Aju1bFSVlOi9567rxlIgQ8Xe6TdJ75m0aw+K5p&#10;gohE1RRrizn6HNcpFvMZVK0H10k2lAH/UIUGafDRA9USIpBbL/+g0pJ5G2wTR8zqwjaNZCJrQDXj&#10;8jc1Vx04kbVgc4I7tCn8P1r2dnPpieToHSUGNFp0//Hr9w+ff3z7hPH+7gsZpyb1LlSIXZhLn2Sy&#10;rblyF5bdBGLsogPTilfBYbcTD8KLI3zaBLe/uW28TgwonWyzD7uDD2IbCcPDafny+dkp2sUwNz2d&#10;ZEaoHq46H+IbYTVJi5oqaVKToILNRYjpcageIOlYGdLXdHI2niRGwCFrFERcaoeyIxp/c90N9gWr&#10;JF9JpdLF4Nv1QnmyARye1arEb6jkCJbeWkLo9ricSjCoOgH8teEk7hy21eD801SJFpwSJfB3SauM&#10;jCDV3yBRmTKJWuTRHuQ+tjet1pbv0NJb52XbHfmBI5SbM4x7mtFf99m1x59y/h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BxroU1QAAAAwBAAAPAAAAAAAAAAEAIAAAACIAAABkcnMvZG93bnJldi54&#10;bWxQSwECFAAUAAAACACHTuJALgu8kv0BAADcAwAADgAAAAAAAAABACAAAAAkAQAAZHJzL2Uyb0Rv&#10;Yy54bWxQSwUGAAAAAAYABgBZAQAAkwUAAAAA&#10;">
                <v:fill on="f" focussize="0,0"/>
                <v:stroke weight="4.5pt" color="#FF0000" linestyle="thickThin" joinstyle="round"/>
                <v:imagedata o:title=""/>
                <o:lock v:ext="edit" aspectratio="t"/>
                <w10:anchorlock/>
              </v:line>
            </w:pict>
          </mc:Fallback>
        </mc:AlternateContent>
      </w:r>
      <w:r>
        <w:rPr>
          <w:rFonts w:eastAsia="黑体"/>
          <w:sz w:val="32"/>
          <w:szCs w:val="32"/>
          <w:lang w:val="zh-CN" w:eastAsia="zh-CN"/>
        </w:rPr>
        <w:pict>
          <v:shape id="_x0000_s1026" o:spid="_x0000_s1026" o:spt="136" type="#_x0000_t136" style="position:absolute;left:0pt;margin-left:82.7pt;margin-top:78.6pt;height:43.95pt;width:436.25pt;mso-position-horizontal-relative:page;mso-position-vertical-relative:page;z-index:251659264;mso-width-relative:page;mso-height-relative:page;" fillcolor="#FF0000" filled="t" stroked="f" coordsize="21600,21600" adj="10800">
            <v:path/>
            <v:fill on="t" focussize="0,0"/>
            <v:stroke on="f"/>
            <v:imagedata o:title=""/>
            <o:lock v:ext="edit" aspectratio="f"/>
            <v:textpath on="t" fitshape="t" fitpath="t" trim="t" xscale="f" string="福州市台江区消防救援大队" style="font-family:方正小标宋简体;font-size:32pt;v-text-align:center;v-text-spacing:98304f;"/>
            <w10:anchorlock/>
          </v:shape>
        </w:pict>
      </w:r>
    </w:p>
    <w:p>
      <w:pPr>
        <w:tabs>
          <w:tab w:val="left" w:pos="6480"/>
        </w:tabs>
        <w:adjustRightInd w:val="0"/>
        <w:snapToGrid w:val="0"/>
        <w:spacing w:line="620" w:lineRule="exact"/>
        <w:rPr>
          <w:rFonts w:eastAsia="方正仿宋_GBK"/>
          <w:sz w:val="32"/>
          <w:szCs w:val="32"/>
        </w:rPr>
      </w:pPr>
    </w:p>
    <w:p>
      <w:pPr>
        <w:spacing w:line="579" w:lineRule="exact"/>
        <w:rPr>
          <w:rFonts w:hint="eastAsia"/>
        </w:rPr>
      </w:pPr>
      <w:r>
        <w:rPr>
          <w:rFonts w:hint="eastAsia"/>
        </w:rPr>
        <w:t xml:space="preserve"> </w:t>
      </w:r>
    </w:p>
    <w:p>
      <w:pPr>
        <w:spacing w:line="56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lang w:eastAsia="zh-CN"/>
        </w:rPr>
        <w:t>台江区消防救援大队</w:t>
      </w:r>
      <w:r>
        <w:rPr>
          <w:rFonts w:hint="eastAsia" w:ascii="方正小标宋简体" w:hAnsi="黑体" w:eastAsia="方正小标宋简体"/>
          <w:sz w:val="44"/>
          <w:szCs w:val="44"/>
        </w:rPr>
        <w:t>关于</w:t>
      </w:r>
      <w:r>
        <w:rPr>
          <w:rFonts w:hint="eastAsia" w:ascii="方正小标宋简体" w:hAnsi="黑体" w:eastAsia="方正小标宋简体"/>
          <w:sz w:val="44"/>
          <w:szCs w:val="44"/>
          <w:lang w:val="en-US" w:eastAsia="zh-CN"/>
        </w:rPr>
        <w:t>2024年7</w:t>
      </w:r>
      <w:r>
        <w:rPr>
          <w:rFonts w:hint="eastAsia" w:ascii="方正小标宋简体" w:hAnsi="黑体" w:eastAsia="方正小标宋简体"/>
          <w:sz w:val="44"/>
          <w:szCs w:val="44"/>
        </w:rPr>
        <w:t>月份“双随机、一公开”消防监督抽查计划</w:t>
      </w:r>
    </w:p>
    <w:p>
      <w:pPr>
        <w:pStyle w:val="2"/>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根据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福建省</w:t>
      </w:r>
      <w:r>
        <w:rPr>
          <w:rFonts w:hint="eastAsia" w:ascii="仿宋_GB2312" w:hAnsi="仿宋_GB2312" w:eastAsia="仿宋_GB2312" w:cs="仿宋_GB2312"/>
          <w:sz w:val="32"/>
          <w:szCs w:val="32"/>
        </w:rPr>
        <w:t>“双随机、一公开”监督抽查</w:t>
      </w:r>
      <w:r>
        <w:rPr>
          <w:rFonts w:hint="eastAsia" w:ascii="仿宋_GB2312" w:hAnsi="仿宋_GB2312" w:eastAsia="仿宋_GB2312" w:cs="仿宋_GB2312"/>
          <w:sz w:val="32"/>
          <w:szCs w:val="32"/>
          <w:lang w:eastAsia="zh-CN"/>
        </w:rPr>
        <w:t>实施细则（试行）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的工作</w:t>
      </w: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现将台江区消防救援大队</w:t>
      </w:r>
      <w:r>
        <w:rPr>
          <w:rFonts w:hint="eastAsia" w:ascii="仿宋_GB2312" w:hAnsi="仿宋_GB2312" w:eastAsia="仿宋_GB2312" w:cs="仿宋_GB2312"/>
          <w:sz w:val="32"/>
          <w:szCs w:val="32"/>
        </w:rPr>
        <w:t>“双随机、一公开”</w:t>
      </w:r>
      <w:r>
        <w:rPr>
          <w:rFonts w:hint="eastAsia" w:ascii="仿宋_GB2312" w:hAnsi="仿宋_GB2312" w:eastAsia="仿宋_GB2312" w:cs="仿宋_GB2312"/>
          <w:sz w:val="32"/>
          <w:szCs w:val="32"/>
          <w:lang w:eastAsia="zh-CN"/>
        </w:rPr>
        <w:t>消防监督抽查计划公开如下：</w:t>
      </w:r>
    </w:p>
    <w:p>
      <w:pPr>
        <w:pStyle w:val="3"/>
        <w:numPr>
          <w:ilvl w:val="0"/>
          <w:numId w:val="0"/>
        </w:numPr>
        <w:ind w:leftChars="0"/>
        <w:rPr>
          <w:rFonts w:hint="eastAsia" w:ascii="黑体" w:hAnsi="黑体" w:eastAsia="黑体" w:cs="黑体"/>
          <w:sz w:val="32"/>
          <w:szCs w:val="32"/>
          <w:lang w:val="en-US" w:eastAsia="zh-CN"/>
        </w:rPr>
      </w:pPr>
      <w:r>
        <w:rPr>
          <w:rFonts w:hint="eastAsia" w:ascii="黑体" w:hAnsi="黑体" w:eastAsia="黑体" w:cs="黑体"/>
          <w:sz w:val="32"/>
          <w:szCs w:val="32"/>
          <w:lang w:eastAsia="zh-CN"/>
        </w:rPr>
        <w:t>　　一、抽查时间</w:t>
      </w:r>
    </w:p>
    <w:p>
      <w:pPr>
        <w:pStyle w:val="3"/>
        <w:numPr>
          <w:ilvl w:val="0"/>
          <w:numId w:val="0"/>
        </w:numPr>
        <w:ind w:leftChars="0"/>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val="en-US" w:eastAsia="zh-CN"/>
        </w:rPr>
        <w:t>　</w:t>
      </w:r>
      <w:r>
        <w:rPr>
          <w:rFonts w:hint="default" w:ascii="Times New Roman" w:hAnsi="Times New Roman" w:eastAsia="仿宋_GB2312" w:cs="Times New Roman"/>
          <w:sz w:val="32"/>
          <w:szCs w:val="32"/>
          <w:lang w:val="en-US" w:eastAsia="zh-CN"/>
        </w:rPr>
        <w:t>　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月1日至</w:t>
      </w:r>
      <w:r>
        <w:rPr>
          <w:rFonts w:hint="eastAsia"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lang w:val="en-US" w:eastAsia="zh-CN"/>
        </w:rPr>
        <w:t>日</w:t>
      </w:r>
    </w:p>
    <w:p>
      <w:pPr>
        <w:pStyle w:val="3"/>
        <w:numPr>
          <w:ilvl w:val="0"/>
          <w:numId w:val="0"/>
        </w:numPr>
        <w:ind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二、检查方式</w:t>
      </w:r>
    </w:p>
    <w:p>
      <w:pPr>
        <w:pStyle w:val="2"/>
        <w:numPr>
          <w:ilvl w:val="0"/>
          <w:numId w:val="0"/>
        </w:numPr>
        <w:ind w:leftChars="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　　由台江区消防救援大队指派不少</w:t>
      </w:r>
      <w:r>
        <w:rPr>
          <w:rFonts w:hint="eastAsia" w:ascii="Times New Roman" w:hAnsi="Times New Roman" w:eastAsia="仿宋_GB2312" w:cs="Times New Roman"/>
          <w:sz w:val="32"/>
          <w:szCs w:val="32"/>
          <w:lang w:val="en-US" w:eastAsia="zh-CN" w:bidi="ar-SA"/>
        </w:rPr>
        <w:t>于2名</w:t>
      </w:r>
      <w:r>
        <w:rPr>
          <w:rFonts w:hint="eastAsia" w:ascii="仿宋_GB2312" w:hAnsi="仿宋_GB2312" w:eastAsia="仿宋_GB2312" w:cs="仿宋_GB2312"/>
          <w:kern w:val="0"/>
          <w:sz w:val="32"/>
          <w:szCs w:val="32"/>
          <w:lang w:val="en-US" w:eastAsia="zh-CN" w:bidi="ar-SA"/>
        </w:rPr>
        <w:t>执法人员到场进行检查，采取询问相关人员、查阅资料、实地测试查看等方式进行检查。</w:t>
      </w:r>
    </w:p>
    <w:p>
      <w:pPr>
        <w:pStyle w:val="3"/>
        <w:numPr>
          <w:ilvl w:val="0"/>
          <w:numId w:val="0"/>
        </w:numPr>
        <w:ind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三、抽查单位</w:t>
      </w:r>
    </w:p>
    <w:p>
      <w:pPr/>
    </w:p>
    <w:p>
      <w:pPr/>
    </w:p>
    <w:p>
      <w:pPr/>
    </w:p>
    <w:p>
      <w:pPr/>
    </w:p>
    <w:p>
      <w:pPr/>
    </w:p>
    <w:p>
      <w:pPr/>
    </w:p>
    <w:p>
      <w:pPr/>
    </w:p>
    <w:p>
      <w:pPr>
        <w:sectPr>
          <w:pgSz w:w="11906" w:h="16838"/>
          <w:pgMar w:top="1440" w:right="1800" w:bottom="1440" w:left="1800" w:header="851" w:footer="992" w:gutter="0"/>
          <w:cols w:space="425" w:num="1"/>
          <w:docGrid w:type="lines" w:linePitch="312" w:charSpace="0"/>
        </w:sectPr>
      </w:pPr>
    </w:p>
    <w:p>
      <w:pPr>
        <w:jc w:val="center"/>
        <w:rPr>
          <w:rFonts w:hint="eastAsia" w:ascii="方正小标宋简体" w:hAnsi="方正小标宋简体" w:eastAsia="方正小标宋简体" w:cs="方正小标宋简体"/>
          <w:b w:val="0"/>
          <w:bCs w:val="0"/>
          <w:sz w:val="18"/>
          <w:szCs w:val="18"/>
        </w:rPr>
      </w:pPr>
      <w:r>
        <w:rPr>
          <w:rFonts w:hint="eastAsia" w:ascii="方正小标宋简体" w:hAnsi="方正小标宋简体" w:eastAsia="方正小标宋简体" w:cs="方正小标宋简体"/>
          <w:b w:val="0"/>
          <w:bCs w:val="0"/>
          <w:sz w:val="18"/>
          <w:szCs w:val="18"/>
        </w:rPr>
        <w:t>福州市</w:t>
      </w:r>
      <w:r>
        <w:rPr>
          <w:rFonts w:hint="eastAsia" w:ascii="方正小标宋简体" w:hAnsi="方正小标宋简体" w:eastAsia="方正小标宋简体" w:cs="方正小标宋简体"/>
          <w:b w:val="0"/>
          <w:bCs w:val="0"/>
          <w:sz w:val="18"/>
          <w:szCs w:val="18"/>
          <w:lang w:eastAsia="zh-CN"/>
        </w:rPr>
        <w:t>台江</w:t>
      </w:r>
      <w:r>
        <w:rPr>
          <w:rFonts w:hint="eastAsia" w:ascii="方正小标宋简体" w:hAnsi="方正小标宋简体" w:eastAsia="方正小标宋简体" w:cs="方正小标宋简体"/>
          <w:b w:val="0"/>
          <w:bCs w:val="0"/>
          <w:sz w:val="18"/>
          <w:szCs w:val="18"/>
        </w:rPr>
        <w:t>区消防救援大队</w:t>
      </w:r>
      <w:r>
        <w:rPr>
          <w:rFonts w:hint="eastAsia" w:ascii="方正小标宋简体" w:hAnsi="方正小标宋简体" w:eastAsia="方正小标宋简体" w:cs="方正小标宋简体"/>
          <w:b w:val="0"/>
          <w:bCs w:val="0"/>
          <w:sz w:val="18"/>
          <w:szCs w:val="18"/>
          <w:lang w:val="en-US" w:eastAsia="zh-CN"/>
        </w:rPr>
        <w:t>2024年7</w:t>
      </w:r>
      <w:bookmarkStart w:id="0" w:name="_GoBack"/>
      <w:bookmarkEnd w:id="0"/>
      <w:r>
        <w:rPr>
          <w:rFonts w:hint="eastAsia" w:ascii="方正小标宋简体" w:hAnsi="方正小标宋简体" w:eastAsia="方正小标宋简体" w:cs="方正小标宋简体"/>
          <w:b w:val="0"/>
          <w:bCs w:val="0"/>
          <w:sz w:val="18"/>
          <w:szCs w:val="18"/>
          <w:lang w:val="en-US" w:eastAsia="zh-CN"/>
        </w:rPr>
        <w:t>月</w:t>
      </w:r>
      <w:r>
        <w:rPr>
          <w:rFonts w:hint="eastAsia" w:ascii="方正小标宋简体" w:hAnsi="方正小标宋简体" w:eastAsia="方正小标宋简体" w:cs="方正小标宋简体"/>
          <w:b w:val="0"/>
          <w:bCs w:val="0"/>
          <w:sz w:val="18"/>
          <w:szCs w:val="18"/>
        </w:rPr>
        <w:t>“双随机、一公开”消防监督抽查</w:t>
      </w:r>
      <w:r>
        <w:rPr>
          <w:rFonts w:hint="eastAsia" w:ascii="方正小标宋简体" w:hAnsi="方正小标宋简体" w:eastAsia="方正小标宋简体" w:cs="方正小标宋简体"/>
          <w:b w:val="0"/>
          <w:bCs w:val="0"/>
          <w:sz w:val="18"/>
          <w:szCs w:val="18"/>
          <w:lang w:val="en-US" w:eastAsia="zh-CN"/>
        </w:rPr>
        <w:t>任务</w:t>
      </w:r>
      <w:r>
        <w:rPr>
          <w:rFonts w:hint="eastAsia" w:ascii="方正小标宋简体" w:hAnsi="方正小标宋简体" w:eastAsia="方正小标宋简体" w:cs="方正小标宋简体"/>
          <w:b w:val="0"/>
          <w:bCs w:val="0"/>
          <w:sz w:val="18"/>
          <w:szCs w:val="18"/>
        </w:rPr>
        <w:t>公示</w:t>
      </w:r>
    </w:p>
    <w:tbl>
      <w:tblPr>
        <w:tblStyle w:val="7"/>
        <w:tblW w:w="13358" w:type="dxa"/>
        <w:jc w:val="center"/>
        <w:tblInd w:w="-9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626"/>
        <w:gridCol w:w="4380"/>
        <w:gridCol w:w="2385"/>
        <w:gridCol w:w="2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878" w:type="dxa"/>
            <w:vAlign w:val="center"/>
          </w:tcPr>
          <w:p>
            <w:pPr>
              <w:jc w:val="center"/>
              <w:rPr>
                <w:rFonts w:hint="eastAsia" w:ascii="方正小标宋简体" w:hAnsi="方正小标宋简体" w:eastAsia="方正小标宋简体" w:cs="方正小标宋简体"/>
                <w:b w:val="0"/>
                <w:bCs w:val="0"/>
                <w:sz w:val="15"/>
                <w:szCs w:val="15"/>
                <w:vertAlign w:val="baseline"/>
                <w:lang w:val="en-US" w:eastAsia="zh-CN"/>
              </w:rPr>
            </w:pPr>
            <w:r>
              <w:rPr>
                <w:rFonts w:hint="eastAsia" w:ascii="方正小标宋简体" w:hAnsi="方正小标宋简体" w:eastAsia="方正小标宋简体" w:cs="方正小标宋简体"/>
                <w:b w:val="0"/>
                <w:bCs w:val="0"/>
                <w:sz w:val="15"/>
                <w:szCs w:val="15"/>
                <w:vertAlign w:val="baseline"/>
                <w:lang w:val="en-US" w:eastAsia="zh-CN"/>
              </w:rPr>
              <w:t>序号</w:t>
            </w:r>
          </w:p>
        </w:tc>
        <w:tc>
          <w:tcPr>
            <w:tcW w:w="3626" w:type="dxa"/>
            <w:vAlign w:val="center"/>
          </w:tcPr>
          <w:p>
            <w:pPr>
              <w:jc w:val="center"/>
              <w:rPr>
                <w:rFonts w:hint="default" w:ascii="方正小标宋简体" w:hAnsi="方正小标宋简体" w:eastAsia="方正小标宋简体" w:cs="方正小标宋简体"/>
                <w:b w:val="0"/>
                <w:bCs w:val="0"/>
                <w:sz w:val="15"/>
                <w:szCs w:val="15"/>
                <w:vertAlign w:val="baseline"/>
                <w:lang w:val="en-US" w:eastAsia="zh-CN"/>
              </w:rPr>
            </w:pPr>
            <w:r>
              <w:rPr>
                <w:rFonts w:hint="eastAsia" w:ascii="方正小标宋简体" w:hAnsi="方正小标宋简体" w:eastAsia="方正小标宋简体" w:cs="方正小标宋简体"/>
                <w:b w:val="0"/>
                <w:bCs w:val="0"/>
                <w:sz w:val="15"/>
                <w:szCs w:val="15"/>
                <w:vertAlign w:val="baseline"/>
                <w:lang w:val="en-US" w:eastAsia="zh-CN"/>
              </w:rPr>
              <w:t>抽查单位</w:t>
            </w:r>
          </w:p>
        </w:tc>
        <w:tc>
          <w:tcPr>
            <w:tcW w:w="4380" w:type="dxa"/>
            <w:vAlign w:val="center"/>
          </w:tcPr>
          <w:p>
            <w:pPr>
              <w:jc w:val="center"/>
              <w:rPr>
                <w:rFonts w:hint="default" w:ascii="方正小标宋简体" w:hAnsi="方正小标宋简体" w:eastAsia="方正小标宋简体" w:cs="方正小标宋简体"/>
                <w:b w:val="0"/>
                <w:bCs w:val="0"/>
                <w:sz w:val="15"/>
                <w:szCs w:val="15"/>
                <w:vertAlign w:val="baseline"/>
                <w:lang w:val="en-US" w:eastAsia="zh-CN"/>
              </w:rPr>
            </w:pPr>
            <w:r>
              <w:rPr>
                <w:rFonts w:hint="eastAsia" w:ascii="方正小标宋简体" w:hAnsi="方正小标宋简体" w:eastAsia="方正小标宋简体" w:cs="方正小标宋简体"/>
                <w:b w:val="0"/>
                <w:bCs w:val="0"/>
                <w:sz w:val="15"/>
                <w:szCs w:val="15"/>
                <w:vertAlign w:val="baseline"/>
                <w:lang w:val="en-US" w:eastAsia="zh-CN"/>
              </w:rPr>
              <w:t>单位地址</w:t>
            </w:r>
          </w:p>
        </w:tc>
        <w:tc>
          <w:tcPr>
            <w:tcW w:w="2385" w:type="dxa"/>
            <w:vAlign w:val="center"/>
          </w:tcPr>
          <w:p>
            <w:pPr>
              <w:jc w:val="center"/>
              <w:rPr>
                <w:rFonts w:hint="default" w:ascii="方正小标宋简体" w:hAnsi="方正小标宋简体" w:eastAsia="方正小标宋简体" w:cs="方正小标宋简体"/>
                <w:b w:val="0"/>
                <w:bCs w:val="0"/>
                <w:sz w:val="15"/>
                <w:szCs w:val="15"/>
                <w:vertAlign w:val="baseline"/>
                <w:lang w:val="en-US" w:eastAsia="zh-CN"/>
              </w:rPr>
            </w:pPr>
            <w:r>
              <w:rPr>
                <w:rFonts w:hint="eastAsia" w:ascii="方正小标宋简体" w:hAnsi="方正小标宋简体" w:eastAsia="方正小标宋简体" w:cs="方正小标宋简体"/>
                <w:b w:val="0"/>
                <w:bCs w:val="0"/>
                <w:sz w:val="15"/>
                <w:szCs w:val="15"/>
                <w:vertAlign w:val="baseline"/>
                <w:lang w:val="en-US" w:eastAsia="zh-CN"/>
              </w:rPr>
              <w:t>检查期限</w:t>
            </w:r>
          </w:p>
        </w:tc>
        <w:tc>
          <w:tcPr>
            <w:tcW w:w="2089" w:type="dxa"/>
            <w:textDirection w:val="lrTb"/>
            <w:vAlign w:val="center"/>
          </w:tcPr>
          <w:p>
            <w:pPr>
              <w:widowControl/>
              <w:jc w:val="center"/>
            </w:pPr>
            <w:r>
              <w:rPr>
                <w:rFonts w:hint="eastAsia" w:ascii="方正小标宋简体" w:hAnsi="方正小标宋简体" w:eastAsia="方正小标宋简体" w:cs="方正小标宋简体"/>
                <w:b w:val="0"/>
                <w:bCs w:val="0"/>
                <w:sz w:val="15"/>
                <w:szCs w:val="15"/>
                <w:vertAlign w:val="baseline"/>
                <w:lang w:val="en-US" w:eastAsia="zh-CN"/>
              </w:rPr>
              <w:t>实施检查机构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福州大利嘉城伟捷通讯店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福州市台江区五一中路169号利嘉城A区综合层2层A2-74B商场</w:t>
            </w:r>
          </w:p>
        </w:tc>
        <w:tc>
          <w:tcPr>
            <w:tcW w:w="2385" w:type="dxa"/>
            <w:vAlign w:val="center"/>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center"/>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福建宏图三胞科技发展有限公司福州五一中路分公司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福州市台江区五一中路151号1号楼101、201-206商铺</w:t>
            </w:r>
          </w:p>
        </w:tc>
        <w:tc>
          <w:tcPr>
            <w:tcW w:w="2385"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center"/>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台江区满座雪锅小吃店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台江区五一中路145号二层</w:t>
            </w:r>
          </w:p>
        </w:tc>
        <w:tc>
          <w:tcPr>
            <w:tcW w:w="2385"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center"/>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福州市老年服务协会</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福州市南园路13号</w:t>
            </w:r>
          </w:p>
        </w:tc>
        <w:tc>
          <w:tcPr>
            <w:tcW w:w="2385"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center"/>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台江区苏宁拉谷谷服装店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台江区工业路233号福州苏宁广场第3层第309商铺</w:t>
            </w:r>
          </w:p>
        </w:tc>
        <w:tc>
          <w:tcPr>
            <w:tcW w:w="2385"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center"/>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6</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福州酿造厂</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福州工业路49号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7</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甘肃省长城建筑工程总公司福州分公司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福建省福州市台江区八一七中路西营里新村4座404号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8</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食鼎天饮食</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台江区广达路</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9</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福建伯克希尔哈撒韦投资管理有限公司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福建省福州市台江区鳌峰街道曙光路132号申发大厦</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10</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福州市台江区浩玩动影院</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台江区工业路193号宝龙城市广场</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11</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台江区萧肴江湖美食店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福州市台江区宁化街道工业路宝龙城市广场1#2#楼连体4层148店面</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12</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纳沃纳（福州）餐饮管理有限公司第一分公司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台江区工业路360号中银第五街2#楼10号店面</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13</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福建申发置业有限公司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台江区鳌峰路曙光路130号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14</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两街管委会</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台江区江滨路</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15</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台江区石雄铭童装店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台江区台江路尾垱街以北南台商贸中心9#、10#楼连体二层80#店面</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16</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台江区江仁招餐饮店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福州市台江区中亭街F区3层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17</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台江区老友记餐厅</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台江区鳌峰路186号桂园怡景二期3号楼一层店面</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18</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福州双丰物业有限公司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台江区广达路438号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19</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华伦中学</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台江区上墩里3号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福建省交通规划设计院</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福州市台江交通路43号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21</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福建万隆伟业商贸有限公司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台江区鳌峰路红星苑三期1号楼17层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22</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福州市台江区华居宾馆古街分馆:</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福州市台江路114号二至五层轴（1/C）（G）/（2）（9）间</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23</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信和财富投资管理（北京）有限公司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台江区世茂国际中心1#15层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24</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广发银行股份有限公司福州分行（台江）</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台江区曙光路130号申发大厦10层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25</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蔻帝</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茶亭街道居然之家JM59-1-1-020</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26</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福州世欧房地产开发有限公司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福州市台江区五一南路1号联信大厦</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27</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神脑商贸（福建）有限公司福州台江文艺大厦分公司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台江区五一中路195号福建文艺大厦一楼</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28</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台江区大利嘉汉堡王快餐店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台江区五一中路169号利嘉城二期16#一层02店</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29</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福州屈臣氏个人用品商店有限公司五一中路分店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福州市台江区茶亭街道五一中路136号金钻大厦南北楼连接体一层76-78、90-100</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30</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福州永仁房地产有限公司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福建省福州市台江区达道路119号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31</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福州海峡口腔医院</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福建省福州市台江区五一中路124号5#楼整座</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32</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福州康达欧贸易有限公司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台江区光明路1号升龙大厦</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33</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福州龙纶商务信息咨询有限公司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台江区曙光路118号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34</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陈文龙尚书庙</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福州市台江区三通路2号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35</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台江区艾微儿情景主题酒店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福州市台江区八一七路君临盛世三层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36</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福州台江区新佳裕酒店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福州市台江区西二环南路38号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37</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海兴控股集团</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台江区金融街万达广场</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38</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福州市鼓楼区优酷教育咨询有限公司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台江区广达路391号广达豪门A座7层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39</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福建医科大学（交通路校区）</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交通路88号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40</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福州铭睿酒店有限公司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 xml:space="preserve">台江区五一中路169号国药大厦2、8-10层（五一中路175号） </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41</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万科广场</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台江区交通路北侧、西洋路南侧、白马路东侧</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42</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福建华联通国际运输代理有限公司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台江区鳌峰路南侧，曙光路东侧宇洋中央金座</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43</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福建合玖峰投资有限公司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福州台江区曙光路130号申发大厦</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44</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福建亿融信德贸易有限公司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福州市台江区鳌峰路鳌峰广场20F</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45</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福州市台江区丰霖餐饮有限公司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福建省福州市台江区八一七中路与群众路交叉处君临盛世茶亭地块八商业综合楼地下1层05商店</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46</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中亭街服装批发中心（福州市新佳物业管理有限公司）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福州市台江区八一七南路</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47</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福州市南方商厦</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福州市台江路254号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48</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福州金鹭首饰有限公司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福州市台江区中亭街H区一层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49</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福州知爱母婴护理服务有限公司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福州市台江区广达路108号1#楼22层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50</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福州海上人家餐饮管理有限公司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福州市台江区群众东路99号元一小区1#2#连接体一层9号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51</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金融街万达广场室外步行街商铺</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福州市台江区鳌江路8号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52</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福建医科大学附属第一医院</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福州市台江区茶中路20号</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53</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台江区速实客餐饮店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台江区瀛洲21号建海A楼二层</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54</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台江区过苗年餐厅</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福建省福州市台江区国货西路282号-5</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55</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鑫鼎盛期货有限公司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台江区</w:t>
            </w:r>
          </w:p>
        </w:tc>
        <w:tc>
          <w:tcPr>
            <w:tcW w:w="2385" w:type="dxa"/>
            <w:vAlign w:val="top"/>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default"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56</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福州市台江区快乐那一家餐饮店</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福州市台江区台江路95号</w:t>
            </w:r>
          </w:p>
        </w:tc>
        <w:tc>
          <w:tcPr>
            <w:tcW w:w="2385" w:type="dxa"/>
            <w:vAlign w:val="top"/>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878" w:type="dxa"/>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57</w:t>
            </w:r>
          </w:p>
        </w:tc>
        <w:tc>
          <w:tcPr>
            <w:tcW w:w="3626"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宁波太平鸟风尚男装有限公司福州台江分公司</w:t>
            </w:r>
          </w:p>
        </w:tc>
        <w:tc>
          <w:tcPr>
            <w:tcW w:w="4380" w:type="dxa"/>
            <w:textDirection w:val="lrTb"/>
            <w:vAlign w:val="center"/>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福州市台江区鳌江路8号万达广场二层2-62</w:t>
            </w:r>
          </w:p>
        </w:tc>
        <w:tc>
          <w:tcPr>
            <w:tcW w:w="2385" w:type="dxa"/>
            <w:vAlign w:val="top"/>
          </w:tcPr>
          <w:p>
            <w:pPr>
              <w:jc w:val="center"/>
              <w:rPr>
                <w:rFonts w:hint="eastAsia" w:ascii="宋体" w:hAnsi="宋体" w:cs="宋体"/>
                <w:b w:val="0"/>
                <w:bCs w:val="0"/>
                <w:sz w:val="15"/>
                <w:szCs w:val="15"/>
                <w:vertAlign w:val="baseline"/>
                <w:lang w:val="en-US" w:eastAsia="zh-CN"/>
              </w:rPr>
            </w:pPr>
            <w:r>
              <w:rPr>
                <w:rFonts w:hint="eastAsia" w:ascii="宋体" w:hAnsi="宋体" w:cs="宋体"/>
                <w:b w:val="0"/>
                <w:bCs w:val="0"/>
                <w:sz w:val="15"/>
                <w:szCs w:val="15"/>
                <w:vertAlign w:val="baseline"/>
                <w:lang w:val="en-US" w:eastAsia="zh-CN"/>
              </w:rPr>
              <w:t>2024-07-01至2024-07-31</w:t>
            </w:r>
          </w:p>
        </w:tc>
        <w:tc>
          <w:tcPr>
            <w:tcW w:w="2089" w:type="dxa"/>
            <w:textDirection w:val="lrTb"/>
            <w:vAlign w:val="top"/>
          </w:tcPr>
          <w:p>
            <w:pPr>
              <w:jc w:val="center"/>
            </w:pPr>
            <w:r>
              <w:rPr>
                <w:rFonts w:hint="eastAsia" w:ascii="宋体" w:hAnsi="宋体" w:eastAsia="宋体" w:cs="宋体"/>
                <w:b w:val="0"/>
                <w:bCs w:val="0"/>
                <w:sz w:val="15"/>
                <w:szCs w:val="15"/>
                <w:vertAlign w:val="baseline"/>
                <w:lang w:val="en-US" w:eastAsia="zh-CN"/>
              </w:rPr>
              <w:t>台江区消防救援大队</w:t>
            </w:r>
          </w:p>
        </w:tc>
      </w:tr>
    </w:tbl>
    <w:p>
      <w:pPr>
        <w:rPr>
          <w:rFonts w:hint="eastAsia" w:ascii="方正小标宋简体" w:hAnsi="方正小标宋简体" w:eastAsia="方正小标宋简体" w:cs="方正小标宋简体"/>
          <w:b w:val="0"/>
          <w:bCs w:val="0"/>
          <w:sz w:val="18"/>
          <w:szCs w:val="18"/>
        </w:rPr>
      </w:pPr>
    </w:p>
    <w:p>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方正仿宋_GBK">
    <w:panose1 w:val="03000509000000000000"/>
    <w:charset w:val="86"/>
    <w:family w:val="script"/>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舒体">
    <w:panose1 w:val="02010601030101010101"/>
    <w:charset w:val="86"/>
    <w:family w:val="script"/>
    <w:pitch w:val="default"/>
    <w:sig w:usb0="00000003" w:usb1="080E0000" w:usb2="00000000" w:usb3="00000000" w:csb0="00040000" w:csb1="00000000"/>
  </w:font>
  <w:font w:name="Tahoma">
    <w:panose1 w:val="020B0604030504040204"/>
    <w:charset w:val="00"/>
    <w:family w:val="roman"/>
    <w:pitch w:val="default"/>
    <w:sig w:usb0="E1002EFF" w:usb1="C000605B" w:usb2="00000029" w:usb3="00000000" w:csb0="200101FF" w:csb1="20280000"/>
  </w:font>
  <w:font w:name="Courier New">
    <w:panose1 w:val="02070309020205020404"/>
    <w:charset w:val="00"/>
    <w:family w:val="decorative"/>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Arial Unicode MS">
    <w:panose1 w:val="020B0604020202020204"/>
    <w:charset w:val="86"/>
    <w:family w:val="script"/>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8A6950"/>
    <w:rsid w:val="238A6950"/>
    <w:rsid w:val="34A50E58"/>
    <w:rsid w:val="51617D8F"/>
    <w:rsid w:val="63D95B9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alloon Text"/>
    <w:basedOn w:val="1"/>
    <w:next w:val="3"/>
    <w:uiPriority w:val="0"/>
    <w:rPr>
      <w:sz w:val="18"/>
      <w:szCs w:val="18"/>
    </w:rPr>
  </w:style>
  <w:style w:type="paragraph" w:customStyle="1" w:styleId="3">
    <w:name w:val="正文缩进311"/>
    <w:next w:val="1"/>
    <w:qFormat/>
    <w:uiPriority w:val="0"/>
    <w:pPr>
      <w:wordWrap w:val="0"/>
      <w:ind w:left="3400"/>
      <w:jc w:val="both"/>
    </w:pPr>
    <w:rPr>
      <w:rFonts w:ascii="Calibri" w:hAnsi="Calibri" w:eastAsia="宋体" w:cs="Times New Roman"/>
      <w:sz w:val="21"/>
      <w:szCs w:val="22"/>
      <w:lang w:val="en-US" w:eastAsia="zh-CN"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2024-06-05T09:29:00Z</dcterms:created>
  <dc:creator>Administrator</dc:creator>
  <cp:lastModifiedBy>Administrator</cp:lastModifiedBy>
  <dcterms:modified xsi:type="dcterms:W3CDTF">2024-08-05T02:47:38Z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