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仿宋_GB2312" w:eastAsia="仿宋_GB2312" w:cs="仿宋_GB2312"/>
          <w:b/>
          <w:color w:val="auto"/>
        </w:rPr>
      </w:pPr>
      <w:r>
        <w:rPr>
          <w:rFonts w:hint="eastAsia" w:ascii="仿宋_GB2312" w:hAnsi="仿宋_GB2312" w:eastAsia="仿宋_GB2312" w:cs="仿宋_GB2312"/>
          <w:b/>
          <w:color w:val="auto"/>
        </w:rPr>
        <w:t>附件1</w:t>
      </w:r>
    </w:p>
    <w:p>
      <w:pPr>
        <w:spacing w:line="600" w:lineRule="exact"/>
        <w:jc w:val="center"/>
        <w:rPr>
          <w:rFonts w:hint="eastAsia" w:ascii="方正大标宋简体" w:hAnsi="方正大标宋简体" w:eastAsia="方正大标宋简体" w:cs="方正大标宋简体"/>
          <w:bCs/>
          <w:color w:val="auto"/>
          <w:sz w:val="44"/>
          <w:szCs w:val="44"/>
        </w:rPr>
      </w:pPr>
      <w:r>
        <w:rPr>
          <w:rFonts w:hint="eastAsia" w:ascii="方正大标宋简体" w:hAnsi="方正大标宋简体" w:eastAsia="方正大标宋简体" w:cs="方正大标宋简体"/>
          <w:bCs/>
          <w:color w:val="auto"/>
          <w:sz w:val="44"/>
          <w:szCs w:val="44"/>
        </w:rPr>
        <w:t>保险方案</w:t>
      </w:r>
    </w:p>
    <w:tbl>
      <w:tblPr>
        <w:tblStyle w:val="2"/>
        <w:tblpPr w:leftFromText="180" w:rightFromText="180" w:vertAnchor="text" w:horzAnchor="page" w:tblpXSpec="center" w:tblpY="510"/>
        <w:tblOverlap w:val="never"/>
        <w:tblW w:w="49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2"/>
        <w:gridCol w:w="2523"/>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278" w:type="pct"/>
            <w:noWrap w:val="0"/>
            <w:vAlign w:val="center"/>
          </w:tcPr>
          <w:p>
            <w:pPr>
              <w:spacing w:line="400" w:lineRule="exac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保险责任</w:t>
            </w:r>
          </w:p>
        </w:tc>
        <w:tc>
          <w:tcPr>
            <w:tcW w:w="1492" w:type="pct"/>
            <w:noWrap w:val="0"/>
            <w:vAlign w:val="center"/>
          </w:tcPr>
          <w:p>
            <w:pPr>
              <w:spacing w:line="400" w:lineRule="exac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保险金额(元/人·年)</w:t>
            </w:r>
          </w:p>
        </w:tc>
        <w:tc>
          <w:tcPr>
            <w:tcW w:w="1228" w:type="pct"/>
            <w:noWrap w:val="0"/>
            <w:vAlign w:val="center"/>
          </w:tcPr>
          <w:p>
            <w:pPr>
              <w:spacing w:line="400" w:lineRule="exact"/>
              <w:jc w:val="center"/>
              <w:rPr>
                <w:rFonts w:hint="eastAsia" w:ascii="仿宋_GB2312" w:hAnsi="仿宋_GB2312" w:eastAsia="仿宋_GB2312" w:cs="仿宋_GB2312"/>
                <w:bCs/>
                <w:color w:val="auto"/>
              </w:rPr>
            </w:pPr>
            <w:r>
              <w:rPr>
                <w:rFonts w:hint="eastAsia" w:ascii="仿宋_GB2312" w:hAnsi="仿宋_GB2312" w:eastAsia="仿宋_GB2312" w:cs="仿宋_GB2312"/>
                <w:bCs/>
                <w:color w:val="auto"/>
              </w:rPr>
              <w:t>保险费(元/人·年)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278" w:type="pct"/>
            <w:noWrap w:val="0"/>
            <w:vAlign w:val="top"/>
          </w:tcPr>
          <w:p>
            <w:pPr>
              <w:spacing w:line="500" w:lineRule="exact"/>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因公期间意外身故、残疾</w:t>
            </w:r>
          </w:p>
        </w:tc>
        <w:tc>
          <w:tcPr>
            <w:tcW w:w="1492" w:type="pct"/>
            <w:noWrap w:val="0"/>
            <w:vAlign w:val="top"/>
          </w:tcPr>
          <w:p>
            <w:pPr>
              <w:spacing w:line="500" w:lineRule="exact"/>
              <w:jc w:val="center"/>
              <w:rPr>
                <w:rFonts w:hint="eastAsia" w:ascii="仿宋_GB2312" w:hAnsi="仿宋_GB2312" w:eastAsia="仿宋_GB2312" w:cs="仿宋_GB2312"/>
                <w:bCs/>
                <w:color w:val="auto"/>
                <w:sz w:val="28"/>
                <w:szCs w:val="28"/>
                <w:lang w:val="en-US" w:eastAsia="zh-CN"/>
              </w:rPr>
            </w:pPr>
            <w:bookmarkStart w:id="0" w:name="OLE_LINK1"/>
            <w:r>
              <w:rPr>
                <w:rFonts w:hint="eastAsia" w:ascii="仿宋_GB2312" w:hAnsi="仿宋_GB2312" w:eastAsia="仿宋_GB2312" w:cs="仿宋_GB2312"/>
                <w:bCs/>
                <w:color w:val="auto"/>
                <w:sz w:val="28"/>
                <w:szCs w:val="28"/>
                <w:lang w:val="en-US" w:eastAsia="zh-CN"/>
              </w:rPr>
              <w:t>不低于</w:t>
            </w:r>
            <w:bookmarkEnd w:id="0"/>
            <w:r>
              <w:rPr>
                <w:rFonts w:hint="eastAsia" w:ascii="仿宋_GB2312" w:hAnsi="仿宋_GB2312" w:eastAsia="仿宋_GB2312" w:cs="仿宋_GB2312"/>
                <w:bCs/>
                <w:color w:val="auto"/>
                <w:sz w:val="28"/>
                <w:szCs w:val="28"/>
              </w:rPr>
              <w:t>1,000,000</w:t>
            </w:r>
          </w:p>
        </w:tc>
        <w:tc>
          <w:tcPr>
            <w:tcW w:w="1228" w:type="pct"/>
            <w:vMerge w:val="restart"/>
            <w:noWrap w:val="0"/>
            <w:vAlign w:val="center"/>
          </w:tcPr>
          <w:p>
            <w:pPr>
              <w:spacing w:line="600" w:lineRule="exact"/>
              <w:jc w:val="center"/>
              <w:rPr>
                <w:rFonts w:hint="default" w:ascii="仿宋_GB2312" w:hAnsi="仿宋_GB2312" w:eastAsia="仿宋_GB2312" w:cs="仿宋_GB2312"/>
                <w:bCs/>
                <w:color w:val="auto"/>
                <w:lang w:val="en-US" w:eastAsia="zh-CN"/>
              </w:rPr>
            </w:pPr>
            <w:r>
              <w:rPr>
                <w:rFonts w:hint="eastAsia" w:ascii="仿宋_GB2312" w:hAnsi="仿宋_GB2312" w:eastAsia="仿宋_GB2312" w:cs="仿宋_GB2312"/>
                <w:bCs/>
                <w:color w:val="auto"/>
                <w:sz w:val="28"/>
                <w:szCs w:val="28"/>
                <w:lang w:val="en-US" w:eastAsia="zh-CN"/>
              </w:rPr>
              <w:t>最高限价为458元人/人·年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 w:hRule="atLeast"/>
          <w:jc w:val="center"/>
        </w:trPr>
        <w:tc>
          <w:tcPr>
            <w:tcW w:w="2278" w:type="pct"/>
            <w:noWrap w:val="0"/>
            <w:vAlign w:val="top"/>
          </w:tcPr>
          <w:p>
            <w:pPr>
              <w:spacing w:line="500" w:lineRule="exact"/>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非因公期间意外身故、残疾</w:t>
            </w:r>
          </w:p>
        </w:tc>
        <w:tc>
          <w:tcPr>
            <w:tcW w:w="1492" w:type="pct"/>
            <w:noWrap w:val="0"/>
            <w:vAlign w:val="top"/>
          </w:tcPr>
          <w:p>
            <w:pPr>
              <w:spacing w:line="500" w:lineRule="exac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不低于</w:t>
            </w:r>
            <w:r>
              <w:rPr>
                <w:rFonts w:hint="eastAsia" w:ascii="仿宋_GB2312" w:hAnsi="仿宋_GB2312" w:eastAsia="仿宋_GB2312" w:cs="仿宋_GB2312"/>
                <w:bCs/>
                <w:color w:val="auto"/>
                <w:sz w:val="28"/>
                <w:szCs w:val="28"/>
              </w:rPr>
              <w:t>200,000</w:t>
            </w:r>
          </w:p>
        </w:tc>
        <w:tc>
          <w:tcPr>
            <w:tcW w:w="1228" w:type="pct"/>
            <w:vMerge w:val="continue"/>
            <w:noWrap w:val="0"/>
            <w:vAlign w:val="top"/>
          </w:tcPr>
          <w:p>
            <w:pPr>
              <w:spacing w:line="600" w:lineRule="exact"/>
              <w:jc w:val="center"/>
              <w:rPr>
                <w:rFonts w:hint="eastAsia" w:ascii="仿宋_GB2312" w:hAnsi="仿宋_GB2312" w:eastAsia="仿宋_GB2312" w:cs="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2278" w:type="pct"/>
            <w:noWrap w:val="0"/>
            <w:vAlign w:val="top"/>
          </w:tcPr>
          <w:p>
            <w:pPr>
              <w:spacing w:line="500" w:lineRule="exact"/>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因公期间急性病身故</w:t>
            </w:r>
          </w:p>
        </w:tc>
        <w:tc>
          <w:tcPr>
            <w:tcW w:w="1492" w:type="pct"/>
            <w:noWrap w:val="0"/>
            <w:vAlign w:val="top"/>
          </w:tcPr>
          <w:p>
            <w:pPr>
              <w:spacing w:line="500" w:lineRule="exac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不低于</w:t>
            </w:r>
            <w:r>
              <w:rPr>
                <w:rFonts w:hint="eastAsia" w:ascii="仿宋_GB2312" w:hAnsi="仿宋_GB2312" w:eastAsia="仿宋_GB2312" w:cs="仿宋_GB2312"/>
                <w:bCs/>
                <w:color w:val="auto"/>
                <w:sz w:val="28"/>
                <w:szCs w:val="28"/>
              </w:rPr>
              <w:t>500,000</w:t>
            </w:r>
          </w:p>
        </w:tc>
        <w:tc>
          <w:tcPr>
            <w:tcW w:w="1228" w:type="pct"/>
            <w:vMerge w:val="continue"/>
            <w:noWrap w:val="0"/>
            <w:vAlign w:val="top"/>
          </w:tcPr>
          <w:p>
            <w:pPr>
              <w:spacing w:line="600" w:lineRule="exact"/>
              <w:jc w:val="center"/>
              <w:rPr>
                <w:rFonts w:hint="eastAsia" w:ascii="仿宋_GB2312" w:hAnsi="仿宋_GB2312" w:eastAsia="仿宋_GB2312" w:cs="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2278" w:type="pct"/>
            <w:noWrap w:val="0"/>
            <w:vAlign w:val="top"/>
          </w:tcPr>
          <w:p>
            <w:pPr>
              <w:spacing w:line="500" w:lineRule="exact"/>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非因公期间急性病身故</w:t>
            </w:r>
          </w:p>
        </w:tc>
        <w:tc>
          <w:tcPr>
            <w:tcW w:w="1492" w:type="pct"/>
            <w:noWrap w:val="0"/>
            <w:vAlign w:val="center"/>
          </w:tcPr>
          <w:p>
            <w:pPr>
              <w:spacing w:line="500" w:lineRule="exac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不低于</w:t>
            </w:r>
            <w:r>
              <w:rPr>
                <w:rFonts w:hint="eastAsia" w:ascii="仿宋_GB2312" w:hAnsi="仿宋_GB2312" w:eastAsia="仿宋_GB2312" w:cs="仿宋_GB2312"/>
                <w:bCs/>
                <w:color w:val="auto"/>
                <w:sz w:val="28"/>
                <w:szCs w:val="28"/>
              </w:rPr>
              <w:t>100,000</w:t>
            </w:r>
          </w:p>
        </w:tc>
        <w:tc>
          <w:tcPr>
            <w:tcW w:w="1228" w:type="pct"/>
            <w:vMerge w:val="continue"/>
            <w:noWrap w:val="0"/>
            <w:vAlign w:val="top"/>
          </w:tcPr>
          <w:p>
            <w:pPr>
              <w:spacing w:line="600" w:lineRule="exact"/>
              <w:jc w:val="center"/>
              <w:rPr>
                <w:rFonts w:hint="eastAsia" w:ascii="仿宋_GB2312" w:hAnsi="仿宋_GB2312" w:eastAsia="仿宋_GB2312" w:cs="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2278" w:type="pct"/>
            <w:noWrap w:val="0"/>
            <w:vAlign w:val="top"/>
          </w:tcPr>
          <w:p>
            <w:pPr>
              <w:spacing w:line="500" w:lineRule="exact"/>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意外伤害医疗费用补偿（无免赔额，按100%赔付）</w:t>
            </w:r>
          </w:p>
        </w:tc>
        <w:tc>
          <w:tcPr>
            <w:tcW w:w="1492" w:type="pct"/>
            <w:noWrap w:val="0"/>
            <w:vAlign w:val="center"/>
          </w:tcPr>
          <w:p>
            <w:pPr>
              <w:spacing w:line="500" w:lineRule="exac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不低于</w:t>
            </w:r>
            <w:r>
              <w:rPr>
                <w:rFonts w:hint="eastAsia" w:ascii="仿宋_GB2312" w:hAnsi="仿宋_GB2312" w:eastAsia="仿宋_GB2312" w:cs="仿宋_GB2312"/>
                <w:bCs/>
                <w:color w:val="auto"/>
                <w:sz w:val="28"/>
                <w:szCs w:val="28"/>
              </w:rPr>
              <w:t>100000</w:t>
            </w:r>
          </w:p>
        </w:tc>
        <w:tc>
          <w:tcPr>
            <w:tcW w:w="1228" w:type="pct"/>
            <w:vMerge w:val="continue"/>
            <w:noWrap w:val="0"/>
            <w:vAlign w:val="top"/>
          </w:tcPr>
          <w:p>
            <w:pPr>
              <w:spacing w:line="600" w:lineRule="exact"/>
              <w:jc w:val="center"/>
              <w:rPr>
                <w:rFonts w:hint="eastAsia" w:ascii="仿宋_GB2312" w:hAnsi="仿宋_GB2312" w:eastAsia="仿宋_GB2312" w:cs="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2278" w:type="pct"/>
            <w:noWrap w:val="0"/>
            <w:vAlign w:val="top"/>
          </w:tcPr>
          <w:p>
            <w:pPr>
              <w:spacing w:line="500" w:lineRule="exact"/>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意外伤害住院津贴（免赔0天，每次事故最高给付天数60天，年累计给付180天）</w:t>
            </w:r>
          </w:p>
        </w:tc>
        <w:tc>
          <w:tcPr>
            <w:tcW w:w="1492" w:type="pct"/>
            <w:noWrap w:val="0"/>
            <w:vAlign w:val="center"/>
          </w:tcPr>
          <w:p>
            <w:pPr>
              <w:spacing w:line="500" w:lineRule="exact"/>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不低于</w:t>
            </w:r>
            <w:r>
              <w:rPr>
                <w:rFonts w:hint="eastAsia" w:ascii="仿宋_GB2312" w:hAnsi="仿宋_GB2312" w:eastAsia="仿宋_GB2312" w:cs="仿宋_GB2312"/>
                <w:bCs/>
                <w:color w:val="auto"/>
                <w:sz w:val="28"/>
                <w:szCs w:val="28"/>
              </w:rPr>
              <w:t>100元/天</w:t>
            </w:r>
          </w:p>
        </w:tc>
        <w:tc>
          <w:tcPr>
            <w:tcW w:w="1228" w:type="pct"/>
            <w:vMerge w:val="continue"/>
            <w:noWrap w:val="0"/>
            <w:vAlign w:val="top"/>
          </w:tcPr>
          <w:p>
            <w:pPr>
              <w:spacing w:line="600" w:lineRule="exact"/>
              <w:jc w:val="center"/>
              <w:rPr>
                <w:rFonts w:hint="eastAsia" w:ascii="仿宋_GB2312" w:hAnsi="仿宋_GB2312" w:eastAsia="仿宋_GB2312" w:cs="仿宋_GB2312"/>
                <w:bCs/>
                <w:color w:val="auto"/>
              </w:rPr>
            </w:pPr>
          </w:p>
        </w:tc>
      </w:tr>
    </w:tbl>
    <w:p>
      <w:pPr>
        <w:pStyle w:val="4"/>
        <w:spacing w:line="600" w:lineRule="exact"/>
        <w:rPr>
          <w:rFonts w:hint="eastAsia" w:ascii="仿宋_GB2312" w:hAnsi="仿宋_GB2312" w:eastAsia="仿宋_GB2312" w:cs="仿宋_GB2312"/>
          <w:bCs/>
          <w:color w:val="auto"/>
          <w:kern w:val="2"/>
          <w:szCs w:val="32"/>
        </w:rPr>
      </w:pPr>
      <w:r>
        <w:rPr>
          <w:rFonts w:hint="eastAsia" w:ascii="仿宋_GB2312" w:hAnsi="仿宋_GB2312" w:eastAsia="仿宋_GB2312" w:cs="仿宋_GB2312"/>
          <w:bCs/>
          <w:color w:val="auto"/>
          <w:kern w:val="2"/>
          <w:szCs w:val="32"/>
        </w:rPr>
        <w:t>注释：（1）在保险期间内，被保险人自获得被保资格之日起</w:t>
      </w:r>
      <w:bookmarkStart w:id="1" w:name="_GoBack"/>
      <w:bookmarkEnd w:id="1"/>
      <w:r>
        <w:rPr>
          <w:rFonts w:hint="eastAsia" w:ascii="仿宋_GB2312" w:hAnsi="仿宋_GB2312" w:eastAsia="仿宋_GB2312" w:cs="仿宋_GB2312"/>
          <w:bCs/>
          <w:color w:val="auto"/>
          <w:kern w:val="2"/>
          <w:szCs w:val="32"/>
        </w:rPr>
        <w:t>遭受意外伤害（含搭乘交通工具），并因该意外伤害导致身故、伤残的，保险人依照约定给付保险金，且给付各项保险金之和不超过该被保险人的意外伤害身故伤残保险金额。</w:t>
      </w:r>
    </w:p>
    <w:p>
      <w:pPr>
        <w:spacing w:line="600" w:lineRule="exact"/>
        <w:rPr>
          <w:rFonts w:hint="eastAsia" w:ascii="仿宋_GB2312" w:hAnsi="仿宋_GB2312" w:eastAsia="仿宋_GB2312" w:cs="仿宋_GB2312"/>
          <w:b/>
          <w:bCs/>
          <w:color w:val="auto"/>
        </w:rPr>
      </w:pPr>
      <w:r>
        <w:rPr>
          <w:rFonts w:hint="eastAsia" w:ascii="仿宋_GB2312" w:hAnsi="仿宋_GB2312" w:eastAsia="仿宋_GB2312" w:cs="仿宋_GB2312"/>
          <w:bCs/>
          <w:color w:val="auto"/>
        </w:rPr>
        <w:t>（2）意外残疾保险金额为保险限额，乙方</w:t>
      </w:r>
      <w:r>
        <w:rPr>
          <w:rFonts w:hint="eastAsia" w:ascii="仿宋_GB2312" w:hAnsi="仿宋_GB2312" w:eastAsia="仿宋_GB2312" w:cs="仿宋_GB2312"/>
          <w:b/>
          <w:bCs/>
          <w:color w:val="auto"/>
        </w:rPr>
        <w:t>按《人身保险伤残评定标准及代码》（保监发【2014】6号 国家金融行业标准编号 JR/T 0083-2013）所对应伤残等级的给付比例乘以该被保险人的本项保险责任的保险金额给付伤残保险金。</w:t>
      </w:r>
    </w:p>
    <w:tbl>
      <w:tblPr>
        <w:tblStyle w:val="2"/>
        <w:tblW w:w="0" w:type="auto"/>
        <w:tblInd w:w="91" w:type="dxa"/>
        <w:tblLayout w:type="autofit"/>
        <w:tblCellMar>
          <w:top w:w="0" w:type="dxa"/>
          <w:left w:w="108" w:type="dxa"/>
          <w:bottom w:w="0" w:type="dxa"/>
          <w:right w:w="108" w:type="dxa"/>
        </w:tblCellMar>
      </w:tblPr>
      <w:tblGrid>
        <w:gridCol w:w="1176"/>
        <w:gridCol w:w="698"/>
        <w:gridCol w:w="698"/>
        <w:gridCol w:w="698"/>
        <w:gridCol w:w="698"/>
        <w:gridCol w:w="698"/>
        <w:gridCol w:w="698"/>
        <w:gridCol w:w="698"/>
        <w:gridCol w:w="698"/>
        <w:gridCol w:w="698"/>
        <w:gridCol w:w="696"/>
      </w:tblGrid>
      <w:tr>
        <w:tblPrEx>
          <w:tblCellMar>
            <w:top w:w="0" w:type="dxa"/>
            <w:left w:w="108" w:type="dxa"/>
            <w:bottom w:w="0" w:type="dxa"/>
            <w:right w:w="108" w:type="dxa"/>
          </w:tblCellMar>
        </w:tblPrEx>
        <w:trPr>
          <w:trHeight w:val="539" w:hRule="atLeast"/>
        </w:trPr>
        <w:tc>
          <w:tcPr>
            <w:tcW w:w="0" w:type="auto"/>
            <w:gridSpan w:val="11"/>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《人身保险伤残评定标准及代码》赔偿标准</w:t>
            </w:r>
          </w:p>
        </w:tc>
      </w:tr>
      <w:tr>
        <w:tblPrEx>
          <w:tblCellMar>
            <w:top w:w="0" w:type="dxa"/>
            <w:left w:w="108" w:type="dxa"/>
            <w:bottom w:w="0" w:type="dxa"/>
            <w:right w:w="108" w:type="dxa"/>
          </w:tblCellMar>
        </w:tblPrEx>
        <w:trPr>
          <w:trHeight w:val="66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伤残等级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九级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八级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七级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六级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五级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四级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三级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二级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一级</w:t>
            </w:r>
          </w:p>
        </w:tc>
      </w:tr>
      <w:tr>
        <w:trPr>
          <w:trHeight w:val="5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赔付比例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100%</w:t>
            </w:r>
          </w:p>
        </w:tc>
      </w:tr>
    </w:tbl>
    <w:p>
      <w:r>
        <w:rPr>
          <w:rFonts w:hint="eastAsia" w:ascii="仿宋_GB2312" w:hAnsi="仿宋_GB2312" w:eastAsia="仿宋_GB2312" w:cs="仿宋_GB2312"/>
          <w:bCs/>
          <w:color w:val="auto"/>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62649"/>
    <w:rsid w:val="05A00ED1"/>
    <w:rsid w:val="19662649"/>
    <w:rsid w:val="2F8116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2024-12-17T02:16:00Z</dcterms:created>
  <dc:creator>86139</dc:creator>
  <cp:lastModifiedBy>86139</cp:lastModifiedBy>
  <dcterms:modified xsi:type="dcterms:W3CDTF">2024-12-17T02:18:13Z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FFE7DF79B27B42C7968B9EE02DC63FA8</vt:lpwstr>
  </property>
</Properties>
</file>