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72878">
      <w:pPr>
        <w:spacing w:before="1400"/>
        <w:ind w:right="250" w:rightChars="119"/>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榕环评〔202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号</w:t>
      </w:r>
    </w:p>
    <w:p w14:paraId="2CE11562">
      <w:pPr>
        <w:spacing w:before="720"/>
        <w:jc w:val="center"/>
        <w:rPr>
          <w:rFonts w:hint="eastAsia" w:ascii="长城小标宋体" w:eastAsia="长城小标宋体"/>
          <w:color w:val="auto"/>
          <w:sz w:val="40"/>
          <w:szCs w:val="40"/>
          <w:highlight w:val="none"/>
        </w:rPr>
      </w:pPr>
      <w:r>
        <w:rPr>
          <w:rFonts w:hint="eastAsia" w:ascii="长城小标宋体" w:eastAsia="长城小标宋体"/>
          <w:color w:val="auto"/>
          <w:sz w:val="40"/>
          <w:szCs w:val="40"/>
          <w:highlight w:val="none"/>
        </w:rPr>
        <w:t>福州市</w:t>
      </w:r>
      <w:r>
        <w:rPr>
          <w:rFonts w:hint="eastAsia" w:ascii="长城小标宋体" w:eastAsia="长城小标宋体"/>
          <w:color w:val="auto"/>
          <w:sz w:val="40"/>
          <w:szCs w:val="40"/>
          <w:highlight w:val="none"/>
          <w:lang w:eastAsia="zh-CN"/>
        </w:rPr>
        <w:t>生态环境</w:t>
      </w:r>
      <w:r>
        <w:rPr>
          <w:rFonts w:hint="eastAsia" w:ascii="长城小标宋体" w:eastAsia="长城小标宋体"/>
          <w:color w:val="auto"/>
          <w:sz w:val="40"/>
          <w:szCs w:val="40"/>
          <w:highlight w:val="none"/>
        </w:rPr>
        <w:t>局</w:t>
      </w:r>
    </w:p>
    <w:p w14:paraId="1485BDEA">
      <w:pPr>
        <w:jc w:val="center"/>
        <w:rPr>
          <w:rFonts w:hint="eastAsia" w:ascii="长城小标宋体" w:eastAsia="长城小标宋体"/>
          <w:color w:val="auto"/>
          <w:sz w:val="40"/>
          <w:szCs w:val="40"/>
          <w:highlight w:val="none"/>
        </w:rPr>
      </w:pPr>
      <w:r>
        <w:rPr>
          <w:rFonts w:hint="eastAsia" w:ascii="长城小标宋体" w:eastAsia="长城小标宋体"/>
          <w:color w:val="auto"/>
          <w:sz w:val="40"/>
          <w:szCs w:val="40"/>
          <w:highlight w:val="none"/>
        </w:rPr>
        <w:t>关于连江县宏康食品有限公司牲畜定点屠宰</w:t>
      </w:r>
    </w:p>
    <w:p w14:paraId="09FF6EE2">
      <w:pPr>
        <w:jc w:val="center"/>
        <w:rPr>
          <w:rFonts w:hint="eastAsia" w:ascii="长城小标宋体" w:eastAsia="长城小标宋体"/>
          <w:color w:val="auto"/>
          <w:sz w:val="40"/>
          <w:szCs w:val="40"/>
          <w:highlight w:val="none"/>
        </w:rPr>
      </w:pPr>
      <w:r>
        <w:rPr>
          <w:rFonts w:hint="eastAsia" w:ascii="长城小标宋体" w:eastAsia="长城小标宋体"/>
          <w:color w:val="auto"/>
          <w:sz w:val="40"/>
          <w:szCs w:val="40"/>
          <w:highlight w:val="none"/>
        </w:rPr>
        <w:t>规模提升项目环境影响报告书的审批意见</w:t>
      </w:r>
    </w:p>
    <w:p w14:paraId="6CB9BDBE">
      <w:pPr>
        <w:keepNext w:val="0"/>
        <w:keepLines w:val="0"/>
        <w:pageBreakBefore w:val="0"/>
        <w:widowControl w:val="0"/>
        <w:kinsoku/>
        <w:wordWrap/>
        <w:overflowPunct/>
        <w:topLinePunct w:val="0"/>
        <w:autoSpaceDE/>
        <w:autoSpaceDN/>
        <w:bidi w:val="0"/>
        <w:adjustRightInd/>
        <w:snapToGrid w:val="0"/>
        <w:spacing w:before="157" w:beforeLines="50" w:afterAutospacing="0" w:line="560" w:lineRule="exact"/>
        <w:ind w:left="0" w:leftChars="0" w:right="0" w:rightChars="0" w:firstLine="0" w:firstLineChars="0"/>
        <w:jc w:val="both"/>
        <w:textAlignment w:val="auto"/>
        <w:outlineLvl w:val="9"/>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福建省连江县宏康食品有限公司：</w:t>
      </w:r>
    </w:p>
    <w:p w14:paraId="455753EE">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right="16" w:firstLine="627" w:firstLineChars="196"/>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你司报送的《连江县宏康食品有限公司牲畜定点屠宰规模提升项目环境影响报告书》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以下简称《报告书》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及申请审批的报告收悉。根据《环境影响评价法》第22条等规定，经组织技术</w:t>
      </w:r>
      <w:r>
        <w:rPr>
          <w:rFonts w:hint="eastAsia" w:ascii="仿宋_GB2312" w:hAnsi="仿宋_GB2312" w:eastAsia="仿宋_GB2312" w:cs="仿宋_GB2312"/>
          <w:color w:val="auto"/>
          <w:sz w:val="32"/>
          <w:szCs w:val="32"/>
          <w:highlight w:val="none"/>
          <w:lang w:eastAsia="zh-CN"/>
        </w:rPr>
        <w:t>审查</w:t>
      </w:r>
      <w:r>
        <w:rPr>
          <w:rFonts w:hint="eastAsia" w:ascii="仿宋_GB2312" w:hAnsi="仿宋_GB2312" w:eastAsia="仿宋_GB2312" w:cs="仿宋_GB2312"/>
          <w:color w:val="auto"/>
          <w:sz w:val="32"/>
          <w:szCs w:val="32"/>
          <w:highlight w:val="none"/>
        </w:rPr>
        <w:t>，并征求</w:t>
      </w:r>
      <w:r>
        <w:rPr>
          <w:rFonts w:hint="eastAsia" w:ascii="仿宋_GB2312" w:hAnsi="仿宋_GB2312" w:eastAsia="仿宋_GB2312" w:cs="仿宋_GB2312"/>
          <w:color w:val="auto"/>
          <w:sz w:val="32"/>
          <w:szCs w:val="32"/>
          <w:highlight w:val="none"/>
          <w:lang w:eastAsia="zh-CN"/>
        </w:rPr>
        <w:t>福州市连江生态环境局</w:t>
      </w:r>
      <w:r>
        <w:rPr>
          <w:rFonts w:hint="eastAsia" w:ascii="仿宋_GB2312" w:hAnsi="仿宋_GB2312" w:eastAsia="仿宋_GB2312" w:cs="仿宋_GB2312"/>
          <w:color w:val="auto"/>
          <w:sz w:val="32"/>
          <w:szCs w:val="32"/>
          <w:highlight w:val="none"/>
        </w:rPr>
        <w:t>意见，现提出审批意见如下：</w:t>
      </w:r>
    </w:p>
    <w:p w14:paraId="693C45C7">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right="16" w:firstLine="627" w:firstLineChars="196"/>
        <w:jc w:val="both"/>
        <w:textAlignment w:val="auto"/>
        <w:outlineLvl w:val="9"/>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sz w:val="32"/>
          <w:szCs w:val="32"/>
          <w:highlight w:val="none"/>
          <w:lang w:eastAsia="zh-CN"/>
        </w:rPr>
        <w:t>一、连江县宏康食品有限公司牲畜定点屠宰规模提升项目位于福州市连江县东湖镇飞石村瑞龟53号福建省连江县宏康食品有限公司现有厂区红线范围内，项目在原有场房基础上进行扩建，增加牲畜屠宰能力，提升污水处理能力。项目年新增生猪屠宰</w:t>
      </w:r>
      <w:r>
        <w:rPr>
          <w:rFonts w:hint="eastAsia" w:ascii="仿宋_GB2312" w:hAnsi="仿宋_GB2312" w:eastAsia="仿宋_GB2312" w:cs="仿宋_GB2312"/>
          <w:color w:val="auto"/>
          <w:sz w:val="32"/>
          <w:szCs w:val="32"/>
          <w:highlight w:val="none"/>
          <w:lang w:val="en-US" w:eastAsia="zh-CN"/>
        </w:rPr>
        <w:t>41.28万头、牛屠宰5万头、羊屠宰11.6万只，建成后全厂年屠宰生猪60万头、牛5.5万头、羊14.6万只。</w:t>
      </w:r>
    </w:p>
    <w:p w14:paraId="7AB55191">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right="16" w:firstLine="627" w:firstLineChars="196"/>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根据《报告书》评价结论和福州市环境影响评价技术中心的技术评估报告</w:t>
      </w:r>
      <w:r>
        <w:rPr>
          <w:rFonts w:hint="eastAsia" w:ascii="仿宋_GB2312" w:eastAsia="仿宋_GB2312"/>
          <w:color w:val="auto"/>
          <w:sz w:val="32"/>
          <w:szCs w:val="32"/>
          <w:highlight w:val="none"/>
        </w:rPr>
        <w:t>（编号2-2024-0</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，该项目符合国家产业政策，</w:t>
      </w:r>
      <w:r>
        <w:rPr>
          <w:rFonts w:hint="eastAsia" w:ascii="仿宋_GB2312" w:hAnsi="仿宋_GB2312" w:eastAsia="仿宋_GB2312" w:cs="仿宋_GB2312"/>
          <w:color w:val="auto"/>
          <w:sz w:val="32"/>
          <w:szCs w:val="32"/>
          <w:highlight w:val="none"/>
          <w:lang w:eastAsia="zh-CN"/>
        </w:rPr>
        <w:t>符合《福州市生态环境分区管控方案（2023年更新）》以及</w:t>
      </w:r>
      <w:r>
        <w:rPr>
          <w:rFonts w:hint="eastAsia" w:ascii="仿宋_GB2312" w:hAnsi="仿宋_GB2312" w:eastAsia="仿宋_GB2312" w:cs="仿宋_GB2312"/>
          <w:color w:val="auto"/>
          <w:sz w:val="32"/>
          <w:szCs w:val="32"/>
          <w:highlight w:val="none"/>
        </w:rPr>
        <w:t>福州市畜牧业“十四五”发展规划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连江县国土空间总体规划</w:t>
      </w:r>
      <w:r>
        <w:rPr>
          <w:rFonts w:hint="eastAsia" w:ascii="仿宋_GB2312" w:hAnsi="仿宋_GB2312" w:eastAsia="仿宋_GB2312" w:cs="仿宋_GB2312"/>
          <w:color w:val="auto"/>
          <w:sz w:val="32"/>
          <w:szCs w:val="32"/>
          <w:highlight w:val="none"/>
          <w:lang w:eastAsia="zh-CN"/>
        </w:rPr>
        <w:t>等规划要求</w:t>
      </w:r>
      <w:r>
        <w:rPr>
          <w:rFonts w:hint="eastAsia" w:ascii="仿宋_GB2312" w:hAnsi="仿宋_GB2312" w:eastAsia="仿宋_GB2312" w:cs="仿宋_GB2312"/>
          <w:color w:val="auto"/>
          <w:sz w:val="32"/>
          <w:szCs w:val="32"/>
          <w:highlight w:val="none"/>
        </w:rPr>
        <w:t>。在严格</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环保“三同时”制度，认真落实</w:t>
      </w:r>
      <w:r>
        <w:rPr>
          <w:rFonts w:hint="eastAsia" w:ascii="仿宋_GB2312" w:hAnsi="仿宋_GB2312" w:eastAsia="仿宋_GB2312" w:cs="仿宋_GB2312"/>
          <w:color w:val="auto"/>
          <w:sz w:val="32"/>
          <w:szCs w:val="32"/>
          <w:highlight w:val="none"/>
          <w:lang w:eastAsia="zh-CN"/>
        </w:rPr>
        <w:t>《报告书》提出的</w:t>
      </w:r>
      <w:r>
        <w:rPr>
          <w:rFonts w:hint="eastAsia" w:ascii="仿宋_GB2312" w:hAnsi="仿宋_GB2312" w:eastAsia="仿宋_GB2312" w:cs="仿宋_GB2312"/>
          <w:color w:val="auto"/>
          <w:sz w:val="32"/>
          <w:szCs w:val="32"/>
          <w:highlight w:val="none"/>
        </w:rPr>
        <w:t>各项</w:t>
      </w:r>
      <w:r>
        <w:rPr>
          <w:rFonts w:hint="eastAsia" w:ascii="仿宋_GB2312" w:hAnsi="仿宋_GB2312" w:eastAsia="仿宋_GB2312" w:cs="仿宋_GB2312"/>
          <w:color w:val="auto"/>
          <w:sz w:val="32"/>
          <w:szCs w:val="32"/>
          <w:highlight w:val="none"/>
          <w:lang w:eastAsia="zh-CN"/>
        </w:rPr>
        <w:t>生态环境保护</w:t>
      </w:r>
      <w:r>
        <w:rPr>
          <w:rFonts w:hint="eastAsia" w:ascii="仿宋_GB2312" w:hAnsi="仿宋_GB2312" w:eastAsia="仿宋_GB2312" w:cs="仿宋_GB2312"/>
          <w:color w:val="auto"/>
          <w:sz w:val="32"/>
          <w:szCs w:val="32"/>
          <w:highlight w:val="none"/>
        </w:rPr>
        <w:t>和环境风险防控措施，加强环境管理的前提下，从环境影响角度分析，项目建设可行。同意按照《报告书》中所列建设项目的性质、规模、地点</w:t>
      </w:r>
      <w:r>
        <w:rPr>
          <w:rFonts w:hint="eastAsia" w:ascii="仿宋_GB2312" w:hAnsi="仿宋_GB2312" w:eastAsia="仿宋_GB2312" w:cs="仿宋_GB2312"/>
          <w:color w:val="auto"/>
          <w:sz w:val="32"/>
          <w:szCs w:val="32"/>
          <w:highlight w:val="none"/>
          <w:lang w:eastAsia="zh-CN"/>
        </w:rPr>
        <w:t>、工艺</w:t>
      </w:r>
      <w:r>
        <w:rPr>
          <w:rFonts w:hint="eastAsia" w:ascii="仿宋_GB2312" w:hAnsi="仿宋_GB2312" w:eastAsia="仿宋_GB2312" w:cs="仿宋_GB2312"/>
          <w:color w:val="auto"/>
          <w:sz w:val="32"/>
          <w:szCs w:val="32"/>
          <w:highlight w:val="none"/>
        </w:rPr>
        <w:t>和拟采取的环境保护对策措施进行项目建设。</w:t>
      </w:r>
    </w:p>
    <w:p w14:paraId="186016E7">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二、项目在设计、</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和运营过程中应认真落实《报告书》提出的各项生态环境保护和</w:t>
      </w:r>
      <w:r>
        <w:rPr>
          <w:rFonts w:hint="eastAsia" w:ascii="仿宋_GB2312" w:hAnsi="仿宋_GB2312" w:eastAsia="仿宋_GB2312" w:cs="仿宋_GB2312"/>
          <w:color w:val="auto"/>
          <w:sz w:val="32"/>
          <w:szCs w:val="32"/>
          <w:highlight w:val="none"/>
          <w:lang w:eastAsia="zh-CN"/>
        </w:rPr>
        <w:t>环境</w:t>
      </w:r>
      <w:r>
        <w:rPr>
          <w:rFonts w:hint="eastAsia" w:ascii="仿宋_GB2312" w:hAnsi="仿宋_GB2312" w:eastAsia="仿宋_GB2312" w:cs="仿宋_GB2312"/>
          <w:color w:val="auto"/>
          <w:sz w:val="32"/>
          <w:szCs w:val="32"/>
          <w:highlight w:val="none"/>
        </w:rPr>
        <w:t>风险防范措施，确保各项污染物</w:t>
      </w:r>
      <w:r>
        <w:rPr>
          <w:rFonts w:hint="eastAsia" w:ascii="仿宋_GB2312" w:hAnsi="仿宋_GB2312" w:eastAsia="仿宋_GB2312" w:cs="仿宋_GB2312"/>
          <w:color w:val="auto"/>
          <w:sz w:val="32"/>
          <w:szCs w:val="32"/>
          <w:highlight w:val="none"/>
          <w:lang w:eastAsia="zh-CN"/>
        </w:rPr>
        <w:t>稳定</w:t>
      </w:r>
      <w:r>
        <w:rPr>
          <w:rFonts w:hint="eastAsia" w:ascii="仿宋_GB2312" w:hAnsi="仿宋_GB2312" w:eastAsia="仿宋_GB2312" w:cs="仿宋_GB2312"/>
          <w:color w:val="auto"/>
          <w:sz w:val="32"/>
          <w:szCs w:val="32"/>
          <w:highlight w:val="none"/>
        </w:rPr>
        <w:t>达标排放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重点做好以下工作：</w:t>
      </w:r>
    </w:p>
    <w:p w14:paraId="74D035D2">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（一）应做好现有工程环境管理工作，并按照《报告书》提出的“以新带老”要求，对现有工程存在的主要环保问题及时完成整改。</w:t>
      </w:r>
    </w:p>
    <w:p w14:paraId="6E3918B0">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Times New Roman" w:eastAsia="仿宋_GB2312" w:cs="仿宋_GB2312"/>
          <w:i w:val="0"/>
          <w:caps w:val="0"/>
          <w:color w:val="auto"/>
          <w:spacing w:val="0"/>
          <w:kern w:val="0"/>
          <w:sz w:val="32"/>
          <w:szCs w:val="32"/>
          <w:highlight w:val="none"/>
          <w:shd w:val="clear" w:fill="FFFFFF"/>
          <w:lang w:val="en-US" w:eastAsia="zh-CN" w:bidi="ar"/>
        </w:rPr>
        <w:t>进一步优化</w:t>
      </w:r>
      <w:r>
        <w:rPr>
          <w:rFonts w:hint="eastAsia" w:ascii="仿宋_GB2312" w:eastAsia="仿宋_GB2312" w:cs="仿宋_GB2312"/>
          <w:i w:val="0"/>
          <w:caps w:val="0"/>
          <w:color w:val="auto"/>
          <w:spacing w:val="0"/>
          <w:kern w:val="0"/>
          <w:sz w:val="32"/>
          <w:szCs w:val="32"/>
          <w:highlight w:val="none"/>
          <w:shd w:val="clear" w:fill="FFFFFF"/>
          <w:lang w:val="en-US" w:eastAsia="zh-CN" w:bidi="ar"/>
        </w:rPr>
        <w:t>总体布局、工艺路线和设计方案，提高清洁化生产水平，采用先进技术、工艺和装备，强化各装置节能、降耗、减排措施，从源头减少污染物产生和碳排放。项目不得使用含氟制冷剂，工艺装备、污染治理技术水平以及单位产品能耗、物耗应达到国内同行业清洁生产先进水平。</w:t>
      </w:r>
    </w:p>
    <w:p w14:paraId="72C3B792">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eastAsia="仿宋_GB2312" w:cs="仿宋_GB2312"/>
          <w:i w:val="0"/>
          <w:caps w:val="0"/>
          <w:color w:val="auto"/>
          <w:spacing w:val="0"/>
          <w:kern w:val="0"/>
          <w:sz w:val="32"/>
          <w:szCs w:val="32"/>
          <w:highlight w:val="none"/>
          <w:shd w:val="clear" w:fill="FFFFFF"/>
          <w:lang w:val="en-US" w:eastAsia="zh-CN" w:bidi="ar"/>
        </w:rPr>
        <w:t>（三）生态环境保护措施</w:t>
      </w:r>
    </w:p>
    <w:p w14:paraId="0333952A">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eastAsia="仿宋_GB2312" w:cs="仿宋_GB2312"/>
          <w:i w:val="0"/>
          <w:caps w:val="0"/>
          <w:color w:val="auto"/>
          <w:spacing w:val="0"/>
          <w:kern w:val="0"/>
          <w:sz w:val="32"/>
          <w:szCs w:val="32"/>
          <w:highlight w:val="none"/>
          <w:shd w:val="clear" w:fill="FFFFFF"/>
          <w:lang w:val="en-US" w:eastAsia="zh-CN" w:bidi="ar"/>
        </w:rPr>
        <w:t>1.大气污染防治。待宰栏、屠宰车间、污水处理站、无害化处理设备应做好密闭，减少无组织排放，待宰栏及污水处理站应设置喷雾除臭装置。恶臭气体经密闭负压收集，通过高效的生物过滤除臭装置处理达标后引至高空排放，排气筒的数量及高度按照《报告书》及相关规范要求设置。</w:t>
      </w:r>
      <w:r>
        <w:rPr>
          <w:rFonts w:hint="eastAsia" w:ascii="仿宋_GB2312" w:eastAsia="仿宋_GB2312" w:cs="仿宋_GB2312"/>
          <w:b w:val="0"/>
          <w:bCs w:val="0"/>
          <w:i w:val="0"/>
          <w:caps w:val="0"/>
          <w:color w:val="auto"/>
          <w:spacing w:val="0"/>
          <w:kern w:val="0"/>
          <w:sz w:val="32"/>
          <w:szCs w:val="32"/>
          <w:highlight w:val="none"/>
          <w:shd w:val="clear" w:fill="FFFFFF"/>
          <w:lang w:val="en-US" w:eastAsia="zh-CN" w:bidi="ar"/>
        </w:rPr>
        <w:t>根据《报告书》评价结论及技术评估意见，本项目实施后，全厂环境防护距离为厂界外延100m范围。上述环境防护区内不得有居民区、学校、医院、行政办公和科研等环境敏感目标，你司应继续配合做好环境防护距离内的规划用地控制工作。</w:t>
      </w:r>
    </w:p>
    <w:p w14:paraId="0A7BC504">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default"/>
          <w:color w:val="auto"/>
          <w:highlight w:val="none"/>
          <w:lang w:val="en-US" w:eastAsia="zh-CN"/>
        </w:rPr>
      </w:pPr>
      <w:r>
        <w:rPr>
          <w:rFonts w:hint="eastAsia" w:ascii="仿宋_GB2312" w:eastAsia="仿宋_GB2312" w:cs="仿宋_GB2312"/>
          <w:i w:val="0"/>
          <w:caps w:val="0"/>
          <w:color w:val="auto"/>
          <w:spacing w:val="0"/>
          <w:kern w:val="0"/>
          <w:sz w:val="32"/>
          <w:szCs w:val="32"/>
          <w:highlight w:val="none"/>
          <w:shd w:val="clear" w:fill="FFFFFF"/>
          <w:lang w:val="en-US" w:eastAsia="zh-CN" w:bidi="ar"/>
        </w:rPr>
        <w:t>2.水污染防治。项目新增处理规模不低于1500t/d的污水处理站（采用“格栅+集水井+调节池+均衡气浮池+厌氧+好氧+沉淀+次氯酸钠消毒”工艺），项目新增生产废水、生活污水经污水处理站处理达标后接入市政污水管网，纳入连江县城区污水处理厂集中处理。</w:t>
      </w:r>
    </w:p>
    <w:p w14:paraId="0E71CF82">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土壤和地下水污染防治。应采取有效的地下水及土壤污染防治措施，按照相关技术规范以及《报告书》要求分区采取防渗措施，并加强防渗设施的日常维护。建立完善的土壤和地下水监测制度，一旦出现土壤或地下水污染，立即启动应急预案和应急措施，减少对土壤和地下水的不利影响。</w:t>
      </w:r>
    </w:p>
    <w:p w14:paraId="46CBD09B">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4.噪声污染防治。优先选用低噪声设备，优化高噪声设备布局，并采取消声、隔声、减振处理，有效控制设备噪声和牲畜叫声对周边环境的影响，确保噪声达标排放。</w:t>
      </w:r>
    </w:p>
    <w:p w14:paraId="206B78A0">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固体废物污染防治。项目一般工业固体废物及危险废物的收集贮存依托已建暂存场所。检疫废物(试剂卡、试剂盒等)、污水处理站使用药剂产生的废包装物、在线设备废液等危险废物应按照相关规定委托有资质单位处置，一般工业固体废物按照《报告书》及相关规定要求处理处置。应当规范建立固体废物管理台帐，定期转移危险废物，并加强全过程规范化管理，避免造成二次污染。</w:t>
      </w:r>
    </w:p>
    <w:p w14:paraId="2F08419E">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eastAsia="仿宋_GB2312" w:cs="仿宋_GB2312"/>
          <w:i w:val="0"/>
          <w:caps w:val="0"/>
          <w:color w:val="auto"/>
          <w:spacing w:val="0"/>
          <w:kern w:val="0"/>
          <w:sz w:val="32"/>
          <w:szCs w:val="32"/>
          <w:highlight w:val="none"/>
          <w:shd w:val="clear" w:fill="FFFFFF"/>
          <w:lang w:val="en-US" w:eastAsia="zh-CN" w:bidi="ar"/>
        </w:rPr>
      </w:pPr>
    </w:p>
    <w:p w14:paraId="11EDFFDF">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eastAsia="仿宋_GB2312" w:cs="宋体"/>
          <w:color w:val="auto"/>
          <w:kern w:val="0"/>
          <w:sz w:val="32"/>
          <w:szCs w:val="32"/>
          <w:highlight w:val="none"/>
          <w:lang w:val="en-US" w:eastAsia="zh-CN"/>
        </w:rPr>
      </w:pPr>
      <w:r>
        <w:rPr>
          <w:rFonts w:hint="eastAsia" w:ascii="仿宋_GB2312" w:eastAsia="仿宋_GB2312" w:cs="仿宋_GB2312"/>
          <w:i w:val="0"/>
          <w:caps w:val="0"/>
          <w:color w:val="auto"/>
          <w:spacing w:val="0"/>
          <w:kern w:val="0"/>
          <w:sz w:val="32"/>
          <w:szCs w:val="32"/>
          <w:highlight w:val="none"/>
          <w:shd w:val="clear" w:fill="FFFFFF"/>
          <w:lang w:val="en-US" w:eastAsia="zh-CN" w:bidi="ar"/>
        </w:rPr>
        <w:t>6.环境管理。加强施工期环境保护管理，控制施工期扬尘、污水、噪声等对周边环境的影响。认真落实环境监测计划，按照《报告书》确认的监测点位、项目及频次组织开展环境监测，监测结果报当地生态环境部门备案。</w:t>
      </w:r>
    </w:p>
    <w:p w14:paraId="1EBEEFE7">
      <w:pPr>
        <w:keepNext w:val="0"/>
        <w:keepLines w:val="0"/>
        <w:pageBreakBefore w:val="0"/>
        <w:widowControl w:val="0"/>
        <w:kinsoku/>
        <w:wordWrap/>
        <w:overflowPunct/>
        <w:topLinePunct w:val="0"/>
        <w:autoSpaceDE/>
        <w:autoSpaceDN/>
        <w:bidi w:val="0"/>
        <w:adjustRightInd/>
        <w:spacing w:afterAutospacing="0" w:line="560" w:lineRule="exact"/>
        <w:ind w:left="0" w:leftChars="0" w:firstLine="640" w:firstLineChars="200"/>
        <w:jc w:val="both"/>
        <w:textAlignment w:val="auto"/>
        <w:outlineLvl w:val="9"/>
        <w:rPr>
          <w:rFonts w:hint="eastAsia"/>
          <w:highlight w:val="none"/>
          <w:lang w:eastAsia="zh-CN"/>
        </w:rPr>
      </w:pPr>
      <w:r>
        <w:rPr>
          <w:rFonts w:hint="eastAsia" w:ascii="仿宋_GB2312" w:hAnsi="仿宋_GB2312" w:eastAsia="仿宋_GB2312" w:cs="仿宋_GB2312"/>
          <w:color w:val="auto"/>
          <w:sz w:val="32"/>
          <w:szCs w:val="32"/>
          <w:highlight w:val="none"/>
          <w:lang w:eastAsia="zh-CN"/>
        </w:rPr>
        <w:t>（四）环境风险防控措施</w:t>
      </w:r>
    </w:p>
    <w:p w14:paraId="667E1AC0">
      <w:pPr>
        <w:keepNext w:val="0"/>
        <w:keepLines w:val="0"/>
        <w:pageBreakBefore w:val="0"/>
        <w:widowControl w:val="0"/>
        <w:kinsoku/>
        <w:wordWrap/>
        <w:overflowPunct/>
        <w:topLinePunct w:val="0"/>
        <w:autoSpaceDE/>
        <w:autoSpaceDN/>
        <w:bidi w:val="0"/>
        <w:adjustRightInd/>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应加强项目环境安全管理，强化环境风险防范和应急措施。要建立完备的台账制度和监测计划，持续提升环境管理水平。建立综合三级防控体系，全厂环境事故应急池</w:t>
      </w:r>
      <w:r>
        <w:rPr>
          <w:rFonts w:hint="eastAsia" w:ascii="仿宋_GB2312" w:hAnsi="仿宋_GB2312" w:eastAsia="仿宋_GB2312" w:cs="仿宋_GB2312"/>
          <w:color w:val="auto"/>
          <w:sz w:val="32"/>
          <w:szCs w:val="32"/>
          <w:highlight w:val="none"/>
          <w:lang w:eastAsia="zh-CN"/>
        </w:rPr>
        <w:t>容积不得</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0m</w:t>
      </w:r>
      <w:r>
        <w:rPr>
          <w:rFonts w:hint="eastAsia" w:ascii="仿宋_GB2312" w:hAnsi="仿宋_GB2312" w:eastAsia="仿宋_GB2312" w:cs="仿宋_GB2312"/>
          <w:color w:val="auto"/>
          <w:sz w:val="32"/>
          <w:szCs w:val="32"/>
          <w:highlight w:val="none"/>
          <w:vertAlign w:val="superscript"/>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配备完善的事故废水导流设施，确保事故废水的有效输送和收储。要及时</w:t>
      </w:r>
      <w:r>
        <w:rPr>
          <w:rFonts w:hint="eastAsia" w:ascii="仿宋_GB2312" w:hAnsi="仿宋_GB2312" w:eastAsia="仿宋_GB2312" w:cs="仿宋_GB2312"/>
          <w:color w:val="auto"/>
          <w:sz w:val="32"/>
          <w:szCs w:val="32"/>
          <w:highlight w:val="none"/>
          <w:lang w:eastAsia="zh-CN"/>
        </w:rPr>
        <w:t>修编</w:t>
      </w:r>
      <w:r>
        <w:rPr>
          <w:rFonts w:hint="eastAsia" w:ascii="仿宋_GB2312" w:hAnsi="仿宋_GB2312" w:eastAsia="仿宋_GB2312" w:cs="仿宋_GB2312"/>
          <w:color w:val="auto"/>
          <w:sz w:val="32"/>
          <w:szCs w:val="32"/>
          <w:highlight w:val="none"/>
        </w:rPr>
        <w:t>企业突发环境事件应急预案并报</w:t>
      </w:r>
      <w:r>
        <w:rPr>
          <w:rFonts w:hint="eastAsia" w:ascii="仿宋_GB2312" w:hAnsi="仿宋_GB2312" w:eastAsia="仿宋_GB2312" w:cs="仿宋_GB2312"/>
          <w:color w:val="auto"/>
          <w:sz w:val="32"/>
          <w:szCs w:val="32"/>
          <w:highlight w:val="none"/>
          <w:lang w:eastAsia="zh-CN"/>
        </w:rPr>
        <w:t>连江</w:t>
      </w:r>
      <w:r>
        <w:rPr>
          <w:rFonts w:hint="eastAsia" w:ascii="仿宋_GB2312" w:hAnsi="仿宋_GB2312" w:eastAsia="仿宋_GB2312" w:cs="仿宋_GB2312"/>
          <w:color w:val="auto"/>
          <w:sz w:val="32"/>
          <w:szCs w:val="32"/>
          <w:highlight w:val="none"/>
        </w:rPr>
        <w:t>生态环境局备案，定期开展环境应急演练，提升突发环境风险事故应急处置能力，并与地方政府建立应急联动机制，有效防范和应对环境风险，确保厂区周边环境安全。</w:t>
      </w:r>
    </w:p>
    <w:p w14:paraId="3DBD8BFB">
      <w:pPr>
        <w:keepNext w:val="0"/>
        <w:keepLines w:val="0"/>
        <w:pageBreakBefore w:val="0"/>
        <w:widowControl w:val="0"/>
        <w:kinsoku/>
        <w:wordWrap/>
        <w:overflowPunct/>
        <w:topLinePunct w:val="0"/>
        <w:autoSpaceDE/>
        <w:autoSpaceDN/>
        <w:bidi w:val="0"/>
        <w:adjustRightInd/>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三、污染物排放标准及主要污染物允许排放总量</w:t>
      </w:r>
    </w:p>
    <w:p w14:paraId="7DC584DD">
      <w:pPr>
        <w:keepNext w:val="0"/>
        <w:keepLines w:val="0"/>
        <w:pageBreakBefore w:val="0"/>
        <w:widowControl w:val="0"/>
        <w:kinsoku/>
        <w:wordWrap/>
        <w:overflowPunct/>
        <w:topLinePunct w:val="0"/>
        <w:autoSpaceDE/>
        <w:autoSpaceDN/>
        <w:bidi w:val="0"/>
        <w:adjustRightInd/>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（一）污染物排放标准</w:t>
      </w:r>
    </w:p>
    <w:p w14:paraId="10E18D7F">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default"/>
          <w:highlight w:val="none"/>
          <w:lang w:val="en-US" w:eastAsia="zh-CN"/>
        </w:rPr>
      </w:pPr>
      <w:r>
        <w:rPr>
          <w:rFonts w:hint="eastAsia" w:ascii="仿宋_GB2312" w:hAnsi="仿宋_GB2312" w:eastAsia="仿宋_GB2312" w:cs="仿宋_GB2312"/>
          <w:color w:val="auto"/>
          <w:sz w:val="32"/>
          <w:szCs w:val="32"/>
          <w:highlight w:val="none"/>
          <w:lang w:val="en-US" w:eastAsia="zh-CN"/>
        </w:rPr>
        <w:t>1.废气。项目产生的臭气中氨、硫化氢、臭气浓度等恶臭污染物有组织排放执行《恶臭污染物排放标准》（GB14554-1993）表2排放标准，无组织排放执行《恶臭污染物排放标准》（GB14554-1993）表1中新扩改建二级标准。</w:t>
      </w:r>
    </w:p>
    <w:p w14:paraId="765DE8D6">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lang w:val="en-US" w:eastAsia="zh-CN"/>
        </w:rPr>
        <w:t>2.废水。项目废水排入市政污水管网执行《肉类加工工业水污染物排放标准》（GB13457-92）中表3“畜类屠宰加工”三级标准，其中，大肠菌群数参照执行《污水综合排放标准》（GB8978-1996）表4三级标准。</w:t>
      </w:r>
    </w:p>
    <w:p w14:paraId="495D41C2">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kern w:val="1"/>
          <w:sz w:val="32"/>
          <w:szCs w:val="32"/>
          <w:highlight w:val="none"/>
          <w:lang w:eastAsia="zh-CN"/>
        </w:rPr>
      </w:pPr>
      <w:r>
        <w:rPr>
          <w:rFonts w:hint="eastAsia" w:ascii="仿宋_GB2312" w:hAnsi="仿宋_GB2312" w:eastAsia="仿宋_GB2312" w:cs="仿宋_GB2312"/>
          <w:color w:val="auto"/>
          <w:kern w:val="1"/>
          <w:sz w:val="32"/>
          <w:szCs w:val="32"/>
          <w:highlight w:val="none"/>
          <w:lang w:val="en-US" w:eastAsia="zh-CN"/>
        </w:rPr>
        <w:t>3.噪声。厂界噪声排放执行《工业企业厂界环境噪声排放标准》（GB12348-2008）表1中2类标准限值；施工期噪声</w:t>
      </w:r>
      <w:r>
        <w:rPr>
          <w:rFonts w:hint="eastAsia" w:ascii="仿宋_GB2312" w:hAnsi="仿宋_GB2312" w:eastAsia="仿宋_GB2312" w:cs="仿宋_GB2312"/>
          <w:color w:val="auto"/>
          <w:sz w:val="32"/>
          <w:szCs w:val="32"/>
          <w:highlight w:val="none"/>
          <w:lang w:val="en-US" w:eastAsia="zh-CN"/>
        </w:rPr>
        <w:t>排放</w:t>
      </w:r>
      <w:r>
        <w:rPr>
          <w:rFonts w:hint="eastAsia" w:ascii="仿宋_GB2312" w:hAnsi="仿宋_GB2312" w:eastAsia="仿宋_GB2312" w:cs="仿宋_GB2312"/>
          <w:color w:val="auto"/>
          <w:kern w:val="1"/>
          <w:sz w:val="32"/>
          <w:szCs w:val="32"/>
          <w:highlight w:val="none"/>
          <w:lang w:val="en-US" w:eastAsia="zh-CN"/>
        </w:rPr>
        <w:t>执行《建筑施工场界环境噪声排放标准》（GB12523-2011）</w:t>
      </w:r>
      <w:r>
        <w:rPr>
          <w:rFonts w:hint="eastAsia" w:ascii="仿宋_GB2312" w:hAnsi="仿宋_GB2312" w:eastAsia="仿宋_GB2312" w:cs="仿宋_GB2312"/>
          <w:color w:val="auto"/>
          <w:kern w:val="1"/>
          <w:sz w:val="32"/>
          <w:szCs w:val="32"/>
          <w:highlight w:val="none"/>
          <w:lang w:eastAsia="zh-CN"/>
        </w:rPr>
        <w:t>。</w:t>
      </w:r>
    </w:p>
    <w:p w14:paraId="7E334EEF">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固体废物。一般固体废物处置执行《一般工业固体废物贮存和填埋污染控制标准》（GB18599-2020）；危险废物临时贮存执行《危险废物贮存污染控制标准》（GB18597-2023）中相关规定，转移管理执行《危险废物转移管理办法》（部令第23号）中相关规定。</w:t>
      </w:r>
    </w:p>
    <w:p w14:paraId="1107461B">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（二）主要污染物允许排放总量</w:t>
      </w:r>
    </w:p>
    <w:p w14:paraId="5149635B">
      <w:pPr>
        <w:keepNext w:val="0"/>
        <w:keepLines w:val="0"/>
        <w:pageBreakBefore w:val="0"/>
        <w:widowControl w:val="0"/>
        <w:kinsoku/>
        <w:wordWrap/>
        <w:overflowPunct/>
        <w:topLinePunct w:val="0"/>
        <w:autoSpaceDE/>
        <w:autoSpaceDN/>
        <w:bidi w:val="0"/>
        <w:adjustRightInd/>
        <w:snapToGrid w:val="0"/>
        <w:spacing w:afterAutospacing="0" w:line="560" w:lineRule="exact"/>
        <w:ind w:left="0" w:leftChars="0" w:firstLine="640" w:firstLineChars="200"/>
        <w:jc w:val="both"/>
        <w:textAlignment w:val="auto"/>
        <w:outlineLvl w:val="9"/>
        <w:rPr>
          <w:rFonts w:hint="eastAsia"/>
          <w:color w:val="auto"/>
          <w:highlight w:val="none"/>
          <w:lang w:eastAsia="zh-CN"/>
        </w:rPr>
      </w:pPr>
      <w:r>
        <w:rPr>
          <w:rFonts w:hint="eastAsia" w:ascii="仿宋_GB2312" w:hAnsi="仿宋_GB2312" w:eastAsia="仿宋_GB2312" w:cs="仿宋_GB2312"/>
          <w:color w:val="auto"/>
          <w:sz w:val="32"/>
          <w:szCs w:val="32"/>
          <w:highlight w:val="none"/>
          <w:lang w:eastAsia="zh-CN"/>
        </w:rPr>
        <w:t>本项目新增主要污染物排放总量控制要求：化学需氧量排放总量≤21.29吨/年，氨氮排放总量≤2.129吨/年。项目建成后全厂允许主要污染物排放总量控制要求：</w:t>
      </w:r>
      <w:r>
        <w:rPr>
          <w:rFonts w:hint="eastAsia" w:ascii="仿宋_GB2312" w:hAnsi="仿宋_GB2312" w:eastAsia="仿宋_GB2312" w:cs="仿宋_GB2312"/>
          <w:color w:val="auto"/>
          <w:sz w:val="32"/>
          <w:szCs w:val="32"/>
          <w:highlight w:val="none"/>
          <w:lang w:val="en-US" w:eastAsia="zh-CN"/>
        </w:rPr>
        <w:t>化学需氧量</w:t>
      </w:r>
      <w:r>
        <w:rPr>
          <w:rFonts w:hint="eastAsia" w:ascii="仿宋_GB2312" w:hAnsi="仿宋_GB2312" w:eastAsia="仿宋_GB2312" w:cs="仿宋_GB2312"/>
          <w:color w:val="auto"/>
          <w:sz w:val="32"/>
          <w:szCs w:val="32"/>
          <w:highlight w:val="none"/>
          <w:lang w:eastAsia="zh-CN"/>
        </w:rPr>
        <w:t>排放总量≤</w:t>
      </w:r>
      <w:r>
        <w:rPr>
          <w:rFonts w:hint="eastAsia" w:ascii="仿宋_GB2312" w:hAnsi="仿宋_GB2312" w:eastAsia="仿宋_GB2312" w:cs="仿宋_GB2312"/>
          <w:color w:val="auto"/>
          <w:sz w:val="32"/>
          <w:szCs w:val="32"/>
          <w:highlight w:val="none"/>
          <w:lang w:val="en-US" w:eastAsia="zh-CN"/>
        </w:rPr>
        <w:t>26.446吨</w:t>
      </w:r>
      <w:r>
        <w:rPr>
          <w:rFonts w:hint="eastAsia" w:ascii="仿宋_GB2312" w:hAnsi="仿宋_GB2312" w:eastAsia="仿宋_GB2312" w:cs="仿宋_GB2312"/>
          <w:color w:val="auto"/>
          <w:sz w:val="32"/>
          <w:szCs w:val="32"/>
          <w:highlight w:val="none"/>
          <w:lang w:eastAsia="zh-CN"/>
        </w:rPr>
        <w:t>/年，氨氮排放总量≤2.645吨/年。你</w:t>
      </w:r>
      <w:bookmarkStart w:id="0" w:name="_GoBack"/>
      <w:bookmarkEnd w:id="0"/>
      <w:r>
        <w:rPr>
          <w:rFonts w:hint="eastAsia" w:ascii="仿宋_GB2312" w:hAnsi="仿宋_GB2312" w:eastAsia="仿宋_GB2312" w:cs="仿宋_GB2312"/>
          <w:color w:val="auto"/>
          <w:sz w:val="32"/>
          <w:szCs w:val="32"/>
          <w:highlight w:val="none"/>
          <w:lang w:eastAsia="zh-CN"/>
        </w:rPr>
        <w:t>司应在项目投产前，按规定通过排污权交易取得化学需氧量、氨氮的排放指标。</w:t>
      </w:r>
    </w:p>
    <w:p w14:paraId="3F7D85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报告书》审批后，如项目的性质、规模、地点、生产工艺或环保措施发生重大变动的，应当依法重新报批项目变更的环境影响报告书。《报告书》自批准之日起超过5年，方决定该项目开工建设的，《报告书》应当依法报我局重新审核。</w:t>
      </w:r>
    </w:p>
    <w:p w14:paraId="5765756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项目建设应严格执行环境保护“三同时”制度。试生产前应按规定程序重新申领排污许可证，建成后应按规定程序自主开展竣工环境保护验收。项目配套的各项环境保护设施未建成或未经竣工验收合格，项目不得投入生产</w:t>
      </w:r>
      <w:r>
        <w:rPr>
          <w:rFonts w:hint="eastAsia" w:ascii="仿宋_GB2312" w:eastAsia="仿宋_GB2312"/>
          <w:color w:val="auto"/>
          <w:sz w:val="32"/>
          <w:szCs w:val="32"/>
          <w:highlight w:val="none"/>
        </w:rPr>
        <w:t>。</w:t>
      </w:r>
    </w:p>
    <w:p w14:paraId="16591F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我局委托福州市生态环境保护综合执法支队开展该项目环保“三同时”监督检查，由福州市</w:t>
      </w:r>
      <w:r>
        <w:rPr>
          <w:rFonts w:hint="eastAsia" w:ascii="仿宋_GB2312" w:eastAsia="仿宋_GB2312"/>
          <w:color w:val="auto"/>
          <w:sz w:val="32"/>
          <w:szCs w:val="32"/>
          <w:highlight w:val="none"/>
          <w:lang w:eastAsia="zh-CN"/>
        </w:rPr>
        <w:t>连江</w:t>
      </w:r>
      <w:r>
        <w:rPr>
          <w:rFonts w:hint="eastAsia" w:ascii="仿宋_GB2312" w:eastAsia="仿宋_GB2312"/>
          <w:color w:val="auto"/>
          <w:sz w:val="32"/>
          <w:szCs w:val="32"/>
          <w:highlight w:val="none"/>
        </w:rPr>
        <w:t>生态环境局负责该项目日常环保监督管理工作。</w:t>
      </w:r>
    </w:p>
    <w:p w14:paraId="2CAFAE1A">
      <w:pPr>
        <w:pStyle w:val="3"/>
        <w:keepNext w:val="0"/>
        <w:keepLines w:val="0"/>
        <w:pageBreakBefore w:val="0"/>
        <w:widowControl w:val="0"/>
        <w:kinsoku/>
        <w:overflowPunct/>
        <w:topLinePunct w:val="0"/>
        <w:autoSpaceDE/>
        <w:autoSpaceDN/>
        <w:bidi w:val="0"/>
        <w:adjustRightInd/>
        <w:spacing w:afterAutospacing="0" w:line="560" w:lineRule="exact"/>
        <w:textAlignment w:val="auto"/>
        <w:rPr>
          <w:rFonts w:hint="eastAsia"/>
          <w:color w:val="auto"/>
          <w:highlight w:val="none"/>
        </w:rPr>
      </w:pPr>
    </w:p>
    <w:p w14:paraId="0FAA43D0">
      <w:pPr>
        <w:keepNext w:val="0"/>
        <w:keepLines w:val="0"/>
        <w:pageBreakBefore w:val="0"/>
        <w:widowControl w:val="0"/>
        <w:kinsoku/>
        <w:overflowPunct/>
        <w:topLinePunct w:val="0"/>
        <w:autoSpaceDE/>
        <w:autoSpaceDN/>
        <w:bidi w:val="0"/>
        <w:adjustRightInd/>
        <w:spacing w:line="560" w:lineRule="exact"/>
        <w:textAlignment w:val="auto"/>
        <w:rPr>
          <w:rFonts w:hint="eastAsia"/>
          <w:color w:val="auto"/>
          <w:highlight w:val="none"/>
        </w:rPr>
      </w:pPr>
    </w:p>
    <w:p w14:paraId="0ED0B1CC">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60" w:lineRule="exact"/>
        <w:ind w:left="0" w:leftChars="0" w:right="1170" w:rightChars="557"/>
        <w:jc w:val="righ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福州市</w:t>
      </w:r>
      <w:r>
        <w:rPr>
          <w:rFonts w:hint="eastAsia" w:ascii="仿宋_GB2312" w:eastAsia="仿宋_GB2312"/>
          <w:color w:val="auto"/>
          <w:sz w:val="32"/>
          <w:szCs w:val="32"/>
          <w:highlight w:val="none"/>
          <w:lang w:eastAsia="zh-CN"/>
        </w:rPr>
        <w:t>生态环境</w:t>
      </w:r>
      <w:r>
        <w:rPr>
          <w:rFonts w:hint="eastAsia" w:ascii="仿宋_GB2312" w:eastAsia="仿宋_GB2312"/>
          <w:color w:val="auto"/>
          <w:sz w:val="32"/>
          <w:szCs w:val="32"/>
          <w:highlight w:val="none"/>
        </w:rPr>
        <w:t>局</w:t>
      </w:r>
    </w:p>
    <w:p w14:paraId="40432C1A">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1170" w:rightChars="557"/>
        <w:jc w:val="righ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日</w:t>
      </w:r>
    </w:p>
    <w:p w14:paraId="60FA2BEB">
      <w:pPr>
        <w:pStyle w:val="3"/>
        <w:keepNext w:val="0"/>
        <w:keepLines w:val="0"/>
        <w:pageBreakBefore w:val="0"/>
        <w:widowControl w:val="0"/>
        <w:kinsoku/>
        <w:overflowPunct/>
        <w:topLinePunct w:val="0"/>
        <w:autoSpaceDE/>
        <w:autoSpaceDN/>
        <w:bidi w:val="0"/>
        <w:adjustRightInd/>
        <w:spacing w:afterAutospacing="0" w:line="580" w:lineRule="exact"/>
        <w:textAlignment w:val="auto"/>
        <w:rPr>
          <w:rFonts w:hint="eastAsia" w:ascii="仿宋_GB2312" w:eastAsia="仿宋_GB2312"/>
          <w:color w:val="auto"/>
          <w:sz w:val="32"/>
          <w:szCs w:val="32"/>
          <w:highlight w:val="none"/>
        </w:rPr>
      </w:pPr>
    </w:p>
    <w:p w14:paraId="10B39DE9">
      <w:pPr>
        <w:rPr>
          <w:rFonts w:hint="eastAsia" w:ascii="仿宋_GB2312" w:eastAsia="仿宋_GB2312"/>
          <w:color w:val="auto"/>
          <w:sz w:val="32"/>
          <w:szCs w:val="32"/>
          <w:highlight w:val="none"/>
        </w:rPr>
      </w:pPr>
    </w:p>
    <w:p w14:paraId="10395D44">
      <w:pPr>
        <w:pStyle w:val="2"/>
        <w:rPr>
          <w:rFonts w:hint="eastAsia" w:ascii="仿宋_GB2312" w:eastAsia="仿宋_GB2312"/>
          <w:color w:val="auto"/>
          <w:sz w:val="32"/>
          <w:szCs w:val="32"/>
          <w:highlight w:val="none"/>
        </w:rPr>
      </w:pPr>
    </w:p>
    <w:p w14:paraId="7817DE15">
      <w:pPr>
        <w:pStyle w:val="3"/>
        <w:rPr>
          <w:rFonts w:hint="eastAsia" w:ascii="仿宋_GB2312" w:eastAsia="仿宋_GB2312"/>
          <w:color w:val="auto"/>
          <w:sz w:val="32"/>
          <w:szCs w:val="32"/>
          <w:highlight w:val="none"/>
        </w:rPr>
      </w:pPr>
    </w:p>
    <w:p w14:paraId="07FD82B4">
      <w:pPr>
        <w:rPr>
          <w:rFonts w:hint="eastAsia" w:ascii="仿宋_GB2312" w:eastAsia="仿宋_GB2312"/>
          <w:color w:val="auto"/>
          <w:sz w:val="32"/>
          <w:szCs w:val="32"/>
          <w:highlight w:val="none"/>
        </w:rPr>
      </w:pPr>
    </w:p>
    <w:p w14:paraId="0B066224">
      <w:pPr>
        <w:pStyle w:val="3"/>
        <w:rPr>
          <w:rFonts w:hint="eastAsia" w:ascii="仿宋_GB2312" w:eastAsia="仿宋_GB2312"/>
          <w:color w:val="auto"/>
          <w:sz w:val="32"/>
          <w:szCs w:val="32"/>
          <w:highlight w:val="none"/>
        </w:rPr>
      </w:pPr>
    </w:p>
    <w:p w14:paraId="4E8F433A">
      <w:pPr>
        <w:pStyle w:val="3"/>
        <w:rPr>
          <w:rFonts w:hint="eastAsia" w:ascii="仿宋_GB2312" w:eastAsia="仿宋_GB2312"/>
          <w:color w:val="auto"/>
          <w:sz w:val="32"/>
          <w:szCs w:val="32"/>
          <w:highlight w:val="none"/>
        </w:rPr>
      </w:pPr>
    </w:p>
    <w:p w14:paraId="24C52244">
      <w:pPr>
        <w:rPr>
          <w:rFonts w:hint="eastAsia" w:ascii="仿宋_GB2312" w:eastAsia="仿宋_GB2312"/>
          <w:color w:val="auto"/>
          <w:sz w:val="32"/>
          <w:szCs w:val="32"/>
          <w:highlight w:val="none"/>
        </w:rPr>
      </w:pPr>
    </w:p>
    <w:p w14:paraId="4D9E868E">
      <w:pPr>
        <w:keepNext w:val="0"/>
        <w:keepLines w:val="0"/>
        <w:pageBreakBefore w:val="0"/>
        <w:widowControl/>
        <w:kinsoku/>
        <w:overflowPunct/>
        <w:topLinePunct w:val="0"/>
        <w:autoSpaceDE/>
        <w:autoSpaceDN/>
        <w:bidi w:val="0"/>
        <w:adjustRightInd/>
        <w:snapToGrid/>
        <w:spacing w:beforeAutospacing="0" w:line="240" w:lineRule="auto"/>
        <w:textAlignment w:val="auto"/>
        <w:outlineLvl w:val="9"/>
        <w:rPr>
          <w:rFonts w:hint="default" w:ascii="仿宋_GB2312" w:eastAsia="仿宋_GB2312"/>
          <w:color w:val="auto"/>
          <w:sz w:val="24"/>
          <w:szCs w:val="24"/>
          <w:highlight w:val="none"/>
          <w:lang w:eastAsia="zh-CN"/>
        </w:rPr>
      </w:pPr>
    </w:p>
    <w:tbl>
      <w:tblPr>
        <w:tblStyle w:val="15"/>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780"/>
        <w:gridCol w:w="3675"/>
      </w:tblGrid>
      <w:tr w14:paraId="7E10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60" w:type="dxa"/>
            <w:tcBorders>
              <w:top w:val="single" w:color="auto" w:sz="4" w:space="0"/>
              <w:left w:val="nil"/>
              <w:bottom w:val="single" w:color="auto" w:sz="4" w:space="0"/>
              <w:right w:val="nil"/>
            </w:tcBorders>
            <w:vAlign w:val="center"/>
          </w:tcPr>
          <w:p w14:paraId="0CE51023">
            <w:pPr>
              <w:keepNext w:val="0"/>
              <w:keepLines w:val="0"/>
              <w:pageBreakBefore w:val="0"/>
              <w:tabs>
                <w:tab w:val="left" w:pos="3885"/>
              </w:tabs>
              <w:kinsoku/>
              <w:overflowPunct/>
              <w:topLinePunct w:val="0"/>
              <w:autoSpaceDE/>
              <w:autoSpaceDN/>
              <w:bidi w:val="0"/>
              <w:adjustRightInd/>
              <w:snapToGrid/>
              <w:spacing w:beforeAutospacing="0" w:line="240" w:lineRule="auto"/>
              <w:ind w:left="0" w:leftChars="0" w:firstLine="179" w:firstLineChars="64"/>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抄送：</w:t>
            </w:r>
          </w:p>
        </w:tc>
        <w:tc>
          <w:tcPr>
            <w:tcW w:w="7455" w:type="dxa"/>
            <w:gridSpan w:val="2"/>
            <w:tcBorders>
              <w:top w:val="single" w:color="auto" w:sz="4" w:space="0"/>
              <w:left w:val="nil"/>
              <w:bottom w:val="single" w:color="auto" w:sz="4" w:space="0"/>
              <w:right w:val="nil"/>
            </w:tcBorders>
            <w:vAlign w:val="center"/>
          </w:tcPr>
          <w:p w14:paraId="5B9D7685">
            <w:pPr>
              <w:keepNext w:val="0"/>
              <w:keepLines w:val="0"/>
              <w:pageBreakBefore w:val="0"/>
              <w:tabs>
                <w:tab w:val="left" w:pos="3885"/>
              </w:tabs>
              <w:kinsoku/>
              <w:overflowPunct/>
              <w:topLinePunct w:val="0"/>
              <w:autoSpaceDE/>
              <w:autoSpaceDN/>
              <w:bidi w:val="0"/>
              <w:adjustRightInd/>
              <w:snapToGrid/>
              <w:spacing w:beforeAutospacing="0" w:line="240" w:lineRule="auto"/>
              <w:ind w:left="0" w:leftChars="0"/>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局土处、水处，</w:t>
            </w:r>
            <w:r>
              <w:rPr>
                <w:rFonts w:hint="eastAsia" w:ascii="仿宋_GB2312" w:eastAsia="仿宋_GB2312"/>
                <w:color w:val="auto"/>
                <w:sz w:val="28"/>
                <w:szCs w:val="28"/>
                <w:highlight w:val="none"/>
              </w:rPr>
              <w:t>福州市生态环境保护综合执法支队</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福州市</w:t>
            </w:r>
            <w:r>
              <w:rPr>
                <w:rFonts w:hint="eastAsia" w:ascii="仿宋_GB2312" w:eastAsia="仿宋_GB2312"/>
                <w:color w:val="auto"/>
                <w:sz w:val="28"/>
                <w:szCs w:val="28"/>
                <w:highlight w:val="none"/>
                <w:lang w:eastAsia="zh-CN"/>
              </w:rPr>
              <w:t>连江</w:t>
            </w:r>
            <w:r>
              <w:rPr>
                <w:rFonts w:hint="eastAsia" w:ascii="仿宋_GB2312" w:eastAsia="仿宋_GB2312"/>
                <w:color w:val="auto"/>
                <w:sz w:val="28"/>
                <w:szCs w:val="28"/>
                <w:highlight w:val="none"/>
              </w:rPr>
              <w:t>生态环境局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福州市环境影响评价技术中心，福建绿川环保科技有限公司。</w:t>
            </w:r>
          </w:p>
        </w:tc>
      </w:tr>
      <w:tr w14:paraId="6C46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40" w:type="dxa"/>
            <w:gridSpan w:val="2"/>
            <w:tcBorders>
              <w:top w:val="single" w:color="auto" w:sz="4" w:space="0"/>
              <w:left w:val="nil"/>
              <w:bottom w:val="single" w:color="auto" w:sz="4" w:space="0"/>
              <w:right w:val="nil"/>
            </w:tcBorders>
            <w:vAlign w:val="center"/>
          </w:tcPr>
          <w:p w14:paraId="1C802699">
            <w:pPr>
              <w:keepNext w:val="0"/>
              <w:keepLines w:val="0"/>
              <w:pageBreakBefore w:val="0"/>
              <w:tabs>
                <w:tab w:val="left" w:pos="3885"/>
              </w:tabs>
              <w:kinsoku/>
              <w:overflowPunct/>
              <w:topLinePunct w:val="0"/>
              <w:autoSpaceDE/>
              <w:autoSpaceDN/>
              <w:bidi w:val="0"/>
              <w:adjustRightInd/>
              <w:snapToGrid/>
              <w:spacing w:beforeAutospacing="0" w:line="240" w:lineRule="auto"/>
              <w:ind w:left="0" w:leftChars="0" w:firstLine="179" w:firstLineChars="64"/>
              <w:textAlignment w:val="auto"/>
              <w:outlineLvl w:val="9"/>
              <w:rPr>
                <w:rFonts w:eastAsia="仿宋_GB2312"/>
                <w:color w:val="auto"/>
                <w:sz w:val="28"/>
                <w:szCs w:val="28"/>
                <w:highlight w:val="none"/>
              </w:rPr>
            </w:pPr>
            <w:r>
              <w:rPr>
                <w:rFonts w:hint="eastAsia" w:ascii="仿宋_GB2312" w:eastAsia="仿宋_GB2312"/>
                <w:color w:val="auto"/>
                <w:sz w:val="28"/>
                <w:szCs w:val="28"/>
                <w:highlight w:val="none"/>
              </w:rPr>
              <w:t>福州市</w:t>
            </w:r>
            <w:r>
              <w:rPr>
                <w:rFonts w:hint="eastAsia" w:ascii="仿宋_GB2312" w:eastAsia="仿宋_GB2312"/>
                <w:color w:val="auto"/>
                <w:sz w:val="28"/>
                <w:szCs w:val="28"/>
                <w:highlight w:val="none"/>
                <w:lang w:eastAsia="zh-CN"/>
              </w:rPr>
              <w:t>生态环境</w:t>
            </w:r>
            <w:r>
              <w:rPr>
                <w:rFonts w:hint="eastAsia" w:ascii="仿宋_GB2312" w:eastAsia="仿宋_GB2312"/>
                <w:color w:val="auto"/>
                <w:sz w:val="28"/>
                <w:szCs w:val="28"/>
                <w:highlight w:val="none"/>
              </w:rPr>
              <w:t>局</w:t>
            </w:r>
          </w:p>
        </w:tc>
        <w:tc>
          <w:tcPr>
            <w:tcW w:w="3675" w:type="dxa"/>
            <w:tcBorders>
              <w:top w:val="single" w:color="auto" w:sz="4" w:space="0"/>
              <w:left w:val="nil"/>
              <w:bottom w:val="single" w:color="auto" w:sz="4" w:space="0"/>
              <w:right w:val="nil"/>
            </w:tcBorders>
            <w:vAlign w:val="center"/>
          </w:tcPr>
          <w:p w14:paraId="533244C7">
            <w:pPr>
              <w:keepNext w:val="0"/>
              <w:keepLines w:val="0"/>
              <w:pageBreakBefore w:val="0"/>
              <w:tabs>
                <w:tab w:val="left" w:pos="3882"/>
                <w:tab w:val="left" w:pos="3987"/>
              </w:tabs>
              <w:kinsoku/>
              <w:wordWrap w:val="0"/>
              <w:overflowPunct/>
              <w:topLinePunct w:val="0"/>
              <w:autoSpaceDE/>
              <w:autoSpaceDN/>
              <w:bidi w:val="0"/>
              <w:adjustRightInd/>
              <w:snapToGrid/>
              <w:spacing w:beforeAutospacing="0" w:line="240" w:lineRule="auto"/>
              <w:ind w:left="0" w:leftChars="0" w:right="311" w:rightChars="148"/>
              <w:jc w:val="right"/>
              <w:textAlignment w:val="auto"/>
              <w:outlineLvl w:val="9"/>
              <w:rPr>
                <w:rFonts w:eastAsia="仿宋_GB2312"/>
                <w:color w:val="auto"/>
                <w:sz w:val="28"/>
                <w:szCs w:val="28"/>
                <w:highlight w:val="none"/>
              </w:rPr>
            </w:pP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日印发</w:t>
            </w:r>
          </w:p>
        </w:tc>
      </w:tr>
    </w:tbl>
    <w:p w14:paraId="19F1C36D">
      <w:pPr>
        <w:keepNext w:val="0"/>
        <w:keepLines w:val="0"/>
        <w:pageBreakBefore w:val="0"/>
        <w:widowControl/>
        <w:kinsoku/>
        <w:overflowPunct/>
        <w:topLinePunct w:val="0"/>
        <w:autoSpaceDE/>
        <w:autoSpaceDN/>
        <w:bidi w:val="0"/>
        <w:adjustRightInd/>
        <w:snapToGrid/>
        <w:spacing w:beforeAutospacing="0" w:line="240" w:lineRule="auto"/>
        <w:textAlignment w:val="auto"/>
        <w:outlineLvl w:val="9"/>
        <w:rPr>
          <w:rFonts w:hint="default" w:ascii="仿宋_GB2312" w:eastAsia="仿宋_GB2312"/>
          <w:color w:val="auto"/>
          <w:sz w:val="24"/>
          <w:szCs w:val="24"/>
          <w:highlight w:val="none"/>
          <w:lang w:eastAsia="zh-CN"/>
        </w:rPr>
      </w:pPr>
    </w:p>
    <w:sectPr>
      <w:footerReference r:id="rId3" w:type="default"/>
      <w:footerReference r:id="rId4" w:type="even"/>
      <w:pgSz w:w="11906" w:h="16838"/>
      <w:pgMar w:top="1701"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E45E">
    <w:pPr>
      <w:pStyle w:val="9"/>
      <w:framePr w:wrap="around" w:vAnchor="text" w:hAnchor="margin" w:xAlign="center" w:y="1"/>
      <w:rPr>
        <w:rStyle w:val="19"/>
        <w:rFonts w:hint="eastAsia" w:ascii="仿宋_GB2312" w:eastAsia="仿宋_GB2312"/>
        <w:sz w:val="28"/>
        <w:szCs w:val="28"/>
      </w:rPr>
    </w:pPr>
    <w:r>
      <w:rPr>
        <w:rFonts w:hint="eastAsia" w:ascii="仿宋_GB2312" w:eastAsia="仿宋_GB2312"/>
        <w:sz w:val="28"/>
        <w:szCs w:val="28"/>
      </w:rPr>
      <w:fldChar w:fldCharType="begin"/>
    </w:r>
    <w:r>
      <w:rPr>
        <w:rStyle w:val="1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9"/>
        <w:rFonts w:ascii="仿宋_GB2312" w:eastAsia="仿宋_GB2312"/>
        <w:sz w:val="28"/>
        <w:szCs w:val="28"/>
      </w:rPr>
      <w:t>- 3 -</w:t>
    </w:r>
    <w:r>
      <w:rPr>
        <w:rFonts w:hint="eastAsia" w:ascii="仿宋_GB2312" w:eastAsia="仿宋_GB2312"/>
        <w:sz w:val="28"/>
        <w:szCs w:val="28"/>
      </w:rPr>
      <w:fldChar w:fldCharType="end"/>
    </w:r>
  </w:p>
  <w:p w14:paraId="1F01295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0C0F">
    <w:pPr>
      <w:pStyle w:val="9"/>
      <w:framePr w:wrap="around" w:vAnchor="text" w:hAnchor="margin" w:xAlign="center" w:y="1"/>
      <w:rPr>
        <w:rStyle w:val="19"/>
      </w:rPr>
    </w:pPr>
    <w:r>
      <w:fldChar w:fldCharType="begin"/>
    </w:r>
    <w:r>
      <w:rPr>
        <w:rStyle w:val="19"/>
      </w:rPr>
      <w:instrText xml:space="preserve">PAGE  </w:instrText>
    </w:r>
    <w:r>
      <w:fldChar w:fldCharType="end"/>
    </w:r>
  </w:p>
  <w:p w14:paraId="3831AE2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32AC9"/>
    <w:multiLevelType w:val="multilevel"/>
    <w:tmpl w:val="41132AC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b/>
        <w:bCs w:val="0"/>
        <w:i w:val="0"/>
        <w:iCs w:val="0"/>
        <w:caps w:val="0"/>
        <w:smallCaps w:val="0"/>
        <w:strike w:val="0"/>
        <w:dstrike w:val="0"/>
        <w:color w:val="000000"/>
        <w:spacing w:val="0"/>
        <w:position w:val="0"/>
        <w:u w:val="none"/>
      </w:rPr>
    </w:lvl>
    <w:lvl w:ilvl="3" w:tentative="0">
      <w:start w:val="1"/>
      <w:numFmt w:val="decimal"/>
      <w:pStyle w:val="4"/>
      <w:suff w:val="space"/>
      <w:lvlText w:val="%1.%2.%3.%4"/>
      <w:lvlJc w:val="left"/>
      <w:pPr>
        <w:ind w:left="0" w:firstLine="0"/>
      </w:pPr>
      <w:rPr>
        <w:rFonts w:hint="eastAsia" w:ascii="Times New Roman" w:hAnsi="Times New Roman" w:cs="Times New Roman"/>
        <w:b/>
        <w:bCs w:val="0"/>
        <w:i w:val="0"/>
        <w:iCs w:val="0"/>
        <w:caps w:val="0"/>
        <w:smallCaps w:val="0"/>
        <w:strike w:val="0"/>
        <w:dstrike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strike w:val="0"/>
        <w:dstrike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559F7E89"/>
    <w:rsid w:val="00733C95"/>
    <w:rsid w:val="012415C2"/>
    <w:rsid w:val="017B4BBD"/>
    <w:rsid w:val="02681D8C"/>
    <w:rsid w:val="059B31F8"/>
    <w:rsid w:val="05E95718"/>
    <w:rsid w:val="06911288"/>
    <w:rsid w:val="086230B9"/>
    <w:rsid w:val="08824042"/>
    <w:rsid w:val="08991F59"/>
    <w:rsid w:val="09290201"/>
    <w:rsid w:val="09682A4F"/>
    <w:rsid w:val="09F31D9F"/>
    <w:rsid w:val="0A4F7B1C"/>
    <w:rsid w:val="0A9C045F"/>
    <w:rsid w:val="0BD02354"/>
    <w:rsid w:val="0C752B89"/>
    <w:rsid w:val="0DBF79EA"/>
    <w:rsid w:val="0EEC178F"/>
    <w:rsid w:val="0F32518B"/>
    <w:rsid w:val="0F7D61F5"/>
    <w:rsid w:val="0FF20F1F"/>
    <w:rsid w:val="10C15A17"/>
    <w:rsid w:val="11EE50AB"/>
    <w:rsid w:val="13CF3A9D"/>
    <w:rsid w:val="15353F94"/>
    <w:rsid w:val="15A30A8C"/>
    <w:rsid w:val="16590C32"/>
    <w:rsid w:val="16B214E4"/>
    <w:rsid w:val="16E641C4"/>
    <w:rsid w:val="17F377DA"/>
    <w:rsid w:val="185E51B0"/>
    <w:rsid w:val="188A223C"/>
    <w:rsid w:val="18913E8A"/>
    <w:rsid w:val="1892516D"/>
    <w:rsid w:val="18D15A0B"/>
    <w:rsid w:val="19063B20"/>
    <w:rsid w:val="195D4337"/>
    <w:rsid w:val="1B731275"/>
    <w:rsid w:val="1BF55770"/>
    <w:rsid w:val="1C033693"/>
    <w:rsid w:val="1C1967DD"/>
    <w:rsid w:val="1C3E3371"/>
    <w:rsid w:val="1C6E4409"/>
    <w:rsid w:val="1CA03525"/>
    <w:rsid w:val="1F7040EE"/>
    <w:rsid w:val="1FC42DC7"/>
    <w:rsid w:val="1FFA3FF9"/>
    <w:rsid w:val="2060293B"/>
    <w:rsid w:val="247F4FF4"/>
    <w:rsid w:val="255D78A2"/>
    <w:rsid w:val="260B587A"/>
    <w:rsid w:val="261464DD"/>
    <w:rsid w:val="271B2112"/>
    <w:rsid w:val="27D857DC"/>
    <w:rsid w:val="280C6F05"/>
    <w:rsid w:val="28680C79"/>
    <w:rsid w:val="2A3022D2"/>
    <w:rsid w:val="2A8B4E09"/>
    <w:rsid w:val="2AC121DF"/>
    <w:rsid w:val="2AD14B31"/>
    <w:rsid w:val="2B0C7BEA"/>
    <w:rsid w:val="2C3F6972"/>
    <w:rsid w:val="2C421C7B"/>
    <w:rsid w:val="2E521804"/>
    <w:rsid w:val="2E82340D"/>
    <w:rsid w:val="2E9A22E0"/>
    <w:rsid w:val="2E9D5498"/>
    <w:rsid w:val="2F7C3F50"/>
    <w:rsid w:val="30646CE8"/>
    <w:rsid w:val="317B4B1E"/>
    <w:rsid w:val="33405C86"/>
    <w:rsid w:val="3401422B"/>
    <w:rsid w:val="34BB7587"/>
    <w:rsid w:val="34D038C0"/>
    <w:rsid w:val="359A757A"/>
    <w:rsid w:val="36767719"/>
    <w:rsid w:val="36F01386"/>
    <w:rsid w:val="379D143B"/>
    <w:rsid w:val="37F877E0"/>
    <w:rsid w:val="39364032"/>
    <w:rsid w:val="399B2674"/>
    <w:rsid w:val="3B154A36"/>
    <w:rsid w:val="3CFC07B2"/>
    <w:rsid w:val="3D164AE1"/>
    <w:rsid w:val="3D4441C6"/>
    <w:rsid w:val="3DDC2BB6"/>
    <w:rsid w:val="3E885367"/>
    <w:rsid w:val="3F363F8B"/>
    <w:rsid w:val="3FA53B70"/>
    <w:rsid w:val="3FB445AC"/>
    <w:rsid w:val="4089777C"/>
    <w:rsid w:val="408A3C30"/>
    <w:rsid w:val="40F679C1"/>
    <w:rsid w:val="41E87F50"/>
    <w:rsid w:val="42371BC0"/>
    <w:rsid w:val="43287026"/>
    <w:rsid w:val="435E5746"/>
    <w:rsid w:val="4397235C"/>
    <w:rsid w:val="44466885"/>
    <w:rsid w:val="447314CE"/>
    <w:rsid w:val="44865664"/>
    <w:rsid w:val="45384445"/>
    <w:rsid w:val="458C75D8"/>
    <w:rsid w:val="459C70AA"/>
    <w:rsid w:val="45A9090B"/>
    <w:rsid w:val="45DA3CE8"/>
    <w:rsid w:val="46C05639"/>
    <w:rsid w:val="46C93599"/>
    <w:rsid w:val="46FE0368"/>
    <w:rsid w:val="47BD32DF"/>
    <w:rsid w:val="49640053"/>
    <w:rsid w:val="49C57725"/>
    <w:rsid w:val="49C92BE0"/>
    <w:rsid w:val="4C1027F5"/>
    <w:rsid w:val="4C670FC4"/>
    <w:rsid w:val="4D3204D6"/>
    <w:rsid w:val="4E0B6B58"/>
    <w:rsid w:val="51E647F7"/>
    <w:rsid w:val="52555569"/>
    <w:rsid w:val="5356675E"/>
    <w:rsid w:val="53603F71"/>
    <w:rsid w:val="53795DEA"/>
    <w:rsid w:val="55411B42"/>
    <w:rsid w:val="559F7E89"/>
    <w:rsid w:val="560E0BB2"/>
    <w:rsid w:val="562110FC"/>
    <w:rsid w:val="56752603"/>
    <w:rsid w:val="56A0434B"/>
    <w:rsid w:val="56B03064"/>
    <w:rsid w:val="56FB049E"/>
    <w:rsid w:val="5713331C"/>
    <w:rsid w:val="57490A94"/>
    <w:rsid w:val="57746246"/>
    <w:rsid w:val="582B407F"/>
    <w:rsid w:val="595F65D1"/>
    <w:rsid w:val="5A4F721B"/>
    <w:rsid w:val="5A600D7D"/>
    <w:rsid w:val="5AFC50AF"/>
    <w:rsid w:val="5B4F712A"/>
    <w:rsid w:val="5BA81DEA"/>
    <w:rsid w:val="5C500C07"/>
    <w:rsid w:val="5D014BFA"/>
    <w:rsid w:val="5EA139C9"/>
    <w:rsid w:val="5ECA634C"/>
    <w:rsid w:val="61052DF9"/>
    <w:rsid w:val="6256228E"/>
    <w:rsid w:val="62B831C1"/>
    <w:rsid w:val="62BA4BEA"/>
    <w:rsid w:val="635E07F8"/>
    <w:rsid w:val="63715BA8"/>
    <w:rsid w:val="65AF250C"/>
    <w:rsid w:val="67391E88"/>
    <w:rsid w:val="675D7CB8"/>
    <w:rsid w:val="67A41370"/>
    <w:rsid w:val="68B07C80"/>
    <w:rsid w:val="68D565A8"/>
    <w:rsid w:val="695F5DE1"/>
    <w:rsid w:val="69EB0C64"/>
    <w:rsid w:val="6A147573"/>
    <w:rsid w:val="6AFC6EF7"/>
    <w:rsid w:val="6B384575"/>
    <w:rsid w:val="6B637032"/>
    <w:rsid w:val="6B7752F2"/>
    <w:rsid w:val="6BDB475D"/>
    <w:rsid w:val="6CC23F43"/>
    <w:rsid w:val="6CE71FCB"/>
    <w:rsid w:val="6D703160"/>
    <w:rsid w:val="6EBB68D3"/>
    <w:rsid w:val="705219E6"/>
    <w:rsid w:val="706359C1"/>
    <w:rsid w:val="708F5FDD"/>
    <w:rsid w:val="719B0488"/>
    <w:rsid w:val="71C4090A"/>
    <w:rsid w:val="71D17800"/>
    <w:rsid w:val="727916F5"/>
    <w:rsid w:val="728878B2"/>
    <w:rsid w:val="72CF77B3"/>
    <w:rsid w:val="731E4704"/>
    <w:rsid w:val="733600C1"/>
    <w:rsid w:val="73C2117C"/>
    <w:rsid w:val="73E86ED0"/>
    <w:rsid w:val="749E7E6E"/>
    <w:rsid w:val="771E77B9"/>
    <w:rsid w:val="77592B9B"/>
    <w:rsid w:val="77F2439C"/>
    <w:rsid w:val="780954A3"/>
    <w:rsid w:val="782549A0"/>
    <w:rsid w:val="7962424D"/>
    <w:rsid w:val="7A0002F9"/>
    <w:rsid w:val="7A4E3FF7"/>
    <w:rsid w:val="7A9A118E"/>
    <w:rsid w:val="7B746C71"/>
    <w:rsid w:val="7B8117A9"/>
    <w:rsid w:val="7B8351D1"/>
    <w:rsid w:val="7CF1312D"/>
    <w:rsid w:val="7E93025D"/>
    <w:rsid w:val="7F116A13"/>
    <w:rsid w:val="7F9C2A34"/>
    <w:rsid w:val="7FDB3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qFormat/>
    <w:uiPriority w:val="0"/>
    <w:pPr>
      <w:keepNext/>
      <w:keepLines/>
      <w:numPr>
        <w:ilvl w:val="3"/>
        <w:numId w:val="1"/>
      </w:numPr>
      <w:spacing w:line="360" w:lineRule="auto"/>
      <w:jc w:val="left"/>
      <w:outlineLvl w:val="3"/>
    </w:pPr>
    <w:rPr>
      <w:b/>
      <w:bCs/>
      <w:sz w:val="24"/>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Plain Text"/>
    <w:basedOn w:val="1"/>
    <w:next w:val="6"/>
    <w:unhideWhenUsed/>
    <w:qFormat/>
    <w:uiPriority w:val="99"/>
    <w:rPr>
      <w:rFonts w:ascii="宋体" w:hAnsi="Courier New" w:eastAsia="宋体" w:cs="Courier New"/>
    </w:rPr>
  </w:style>
  <w:style w:type="paragraph" w:styleId="8">
    <w:name w:val="Body Text Indent"/>
    <w:basedOn w:val="1"/>
    <w:unhideWhenUsed/>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next w:val="1"/>
    <w:qFormat/>
    <w:uiPriority w:val="0"/>
    <w:pPr>
      <w:ind w:firstLine="420" w:firstLineChars="100"/>
    </w:pPr>
  </w:style>
  <w:style w:type="paragraph" w:styleId="14">
    <w:name w:val="Body Text First Indent 2"/>
    <w:basedOn w:val="8"/>
    <w:qFormat/>
    <w:uiPriority w:val="0"/>
    <w:pPr>
      <w:ind w:firstLine="42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_Style 8"/>
    <w:basedOn w:val="1"/>
    <w:link w:val="17"/>
    <w:qFormat/>
    <w:uiPriority w:val="0"/>
  </w:style>
  <w:style w:type="character" w:styleId="19">
    <w:name w:val="page number"/>
    <w:basedOn w:val="17"/>
    <w:qFormat/>
    <w:uiPriority w:val="0"/>
  </w:style>
  <w:style w:type="character" w:styleId="20">
    <w:name w:val="FollowedHyperlink"/>
    <w:basedOn w:val="17"/>
    <w:qFormat/>
    <w:uiPriority w:val="0"/>
    <w:rPr>
      <w:color w:val="43434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434343"/>
      <w:u w:val="none"/>
    </w:rPr>
  </w:style>
  <w:style w:type="character" w:styleId="26">
    <w:name w:val="HTML Code"/>
    <w:basedOn w:val="17"/>
    <w:qFormat/>
    <w:uiPriority w:val="0"/>
    <w:rPr>
      <w:rFonts w:ascii="Courier New" w:hAnsi="Courier New"/>
      <w:sz w:val="20"/>
    </w:rPr>
  </w:style>
  <w:style w:type="character" w:styleId="27">
    <w:name w:val="HTML Cite"/>
    <w:basedOn w:val="17"/>
    <w:qFormat/>
    <w:uiPriority w:val="0"/>
  </w:style>
  <w:style w:type="paragraph" w:customStyle="1" w:styleId="28">
    <w:name w:val="Char"/>
    <w:basedOn w:val="1"/>
    <w:link w:val="17"/>
    <w:qFormat/>
    <w:uiPriority w:val="0"/>
    <w:pPr>
      <w:spacing w:line="360" w:lineRule="auto"/>
    </w:pPr>
    <w:rPr>
      <w:rFonts w:ascii="Tahoma" w:hAnsi="Tahoma"/>
      <w:sz w:val="28"/>
      <w:szCs w:val="20"/>
    </w:rPr>
  </w:style>
  <w:style w:type="paragraph" w:customStyle="1" w:styleId="29">
    <w:name w:val="首行缩进正文"/>
    <w:basedOn w:val="1"/>
    <w:qFormat/>
    <w:uiPriority w:val="0"/>
    <w:pPr>
      <w:adjustRightInd w:val="0"/>
      <w:snapToGrid w:val="0"/>
      <w:spacing w:beforeLines="50" w:line="300" w:lineRule="auto"/>
      <w:ind w:firstLine="480" w:firstLineChars="200"/>
    </w:pPr>
    <w:rPr>
      <w:sz w:val="24"/>
      <w:szCs w:val="24"/>
    </w:rPr>
  </w:style>
  <w:style w:type="paragraph" w:customStyle="1" w:styleId="30">
    <w:name w:val="5文章(治)"/>
    <w:basedOn w:val="1"/>
    <w:qFormat/>
    <w:uiPriority w:val="0"/>
    <w:pPr>
      <w:spacing w:line="360" w:lineRule="auto"/>
      <w:ind w:firstLine="200" w:firstLineChars="200"/>
    </w:pPr>
    <w:rPr>
      <w:rFonts w:asciiTheme="minorHAnsi" w:hAnsiTheme="minorHAnsi" w:eastAsiaTheme="minorEastAsia" w:cstheme="minorBidi"/>
      <w:sz w:val="24"/>
    </w:rPr>
  </w:style>
  <w:style w:type="paragraph" w:customStyle="1" w:styleId="31">
    <w:name w:val="7表格(治)"/>
    <w:qFormat/>
    <w:uiPriority w:val="0"/>
    <w:pPr>
      <w:widowControl w:val="0"/>
      <w:tabs>
        <w:tab w:val="center" w:pos="4153"/>
        <w:tab w:val="right" w:pos="8306"/>
      </w:tabs>
      <w:suppressAutoHyphens/>
      <w:snapToGrid w:val="0"/>
      <w:jc w:val="center"/>
    </w:pPr>
    <w:rPr>
      <w:rFonts w:ascii="Times New Roman" w:hAnsi="Times New Roman" w:eastAsia="宋体" w:cs="宋体"/>
      <w:szCs w:val="36"/>
      <w:lang w:val="en-US" w:eastAsia="zh-CN" w:bidi="ar-SA"/>
    </w:rPr>
  </w:style>
  <w:style w:type="paragraph" w:customStyle="1" w:styleId="32">
    <w:name w:val="5文章正文"/>
    <w:basedOn w:val="1"/>
    <w:qFormat/>
    <w:uiPriority w:val="0"/>
    <w:pPr>
      <w:spacing w:line="360" w:lineRule="auto"/>
      <w:ind w:firstLine="200" w:firstLineChars="200"/>
    </w:pPr>
    <w:rPr>
      <w:rFonts w:cstheme="minorBidi"/>
      <w:sz w:val="24"/>
    </w:rPr>
  </w:style>
  <w:style w:type="paragraph" w:customStyle="1" w:styleId="33">
    <w:name w:val="金皇表（图）头"/>
    <w:basedOn w:val="1"/>
    <w:qFormat/>
    <w:uiPriority w:val="0"/>
    <w:pPr>
      <w:adjustRightInd w:val="0"/>
      <w:jc w:val="center"/>
      <w:outlineLvl w:val="4"/>
    </w:pPr>
    <w:rPr>
      <w:rFonts w:eastAsia="黑体" w:cstheme="minorBidi"/>
      <w:b/>
      <w:sz w:val="24"/>
    </w:rPr>
  </w:style>
  <w:style w:type="table" w:customStyle="1" w:styleId="34">
    <w:name w:val="正文+宋体4"/>
    <w:basedOn w:val="15"/>
    <w:qFormat/>
    <w:uiPriority w:val="99"/>
    <w:pPr>
      <w:widowControl w:val="0"/>
      <w:jc w:val="center"/>
    </w:pPr>
    <w:rPr>
      <w:szCs w:val="21"/>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tcMar>
        <w:left w:w="28" w:type="dxa"/>
        <w:right w:w="28" w:type="dxa"/>
      </w:tcMar>
      <w:vAlign w:val="center"/>
    </w:tcPr>
  </w:style>
  <w:style w:type="character" w:customStyle="1" w:styleId="35">
    <w:name w:val="font"/>
    <w:basedOn w:val="17"/>
    <w:qFormat/>
    <w:uiPriority w:val="0"/>
  </w:style>
  <w:style w:type="character" w:customStyle="1" w:styleId="36">
    <w:name w:val="font1"/>
    <w:basedOn w:val="17"/>
    <w:qFormat/>
    <w:uiPriority w:val="0"/>
  </w:style>
  <w:style w:type="character" w:customStyle="1" w:styleId="37">
    <w:name w:val="span_labletitle"/>
    <w:basedOn w:val="17"/>
    <w:qFormat/>
    <w:uiPriority w:val="0"/>
    <w:rPr>
      <w:b/>
      <w:color w:val="1369C0"/>
      <w:shd w:val="clear" w:fill="FFFFFF"/>
    </w:rPr>
  </w:style>
  <w:style w:type="character" w:customStyle="1" w:styleId="38">
    <w:name w:val="NormalCharacter"/>
    <w:semiHidden/>
    <w:qFormat/>
    <w:uiPriority w:val="0"/>
  </w:style>
  <w:style w:type="paragraph" w:customStyle="1" w:styleId="39">
    <w:name w:val="01评估认为加粗小三"/>
    <w:basedOn w:val="14"/>
    <w:qFormat/>
    <w:uiPriority w:val="0"/>
    <w:pPr>
      <w:spacing w:after="0"/>
      <w:ind w:left="0" w:leftChars="0" w:firstLine="200"/>
    </w:pPr>
    <w:rPr>
      <w:rFonts w:ascii="仿宋_GB2312" w:eastAsia="仿宋_GB2312"/>
      <w:b/>
      <w:sz w:val="28"/>
      <w:szCs w:val="30"/>
    </w:rPr>
  </w:style>
  <w:style w:type="paragraph" w:customStyle="1" w:styleId="40">
    <w:name w:val="9表格内容"/>
    <w:basedOn w:val="1"/>
    <w:next w:val="1"/>
    <w:qFormat/>
    <w:uiPriority w:val="0"/>
    <w:pPr>
      <w:jc w:val="center"/>
    </w:pPr>
    <w:rPr>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2751</Words>
  <Characters>2919</Characters>
  <Lines>0</Lines>
  <Paragraphs>0</Paragraphs>
  <TotalTime>5</TotalTime>
  <ScaleCrop>false</ScaleCrop>
  <LinksUpToDate>false</LinksUpToDate>
  <CharactersWithSpaces>2921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2018-08-21T07:06:00Z</dcterms:created>
  <dc:creator>Yuri</dc:creator>
  <cp:lastModifiedBy>曹昌炜</cp:lastModifiedBy>
  <cp:lastPrinted>2024-12-11T07:28:00Z</cp:lastPrinted>
  <dcterms:modified xsi:type="dcterms:W3CDTF">2024-12-13T09:02:16Z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8B525B521DDB45108FB60553287F4BA8</vt:lpwstr>
  </property>
</Properties>
</file>