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Autospacing="0" w:afterAutospacing="0"/>
        <w:rPr>
          <w:rFonts w:hint="eastAsia" w:ascii="微软雅黑" w:hAnsi="微软雅黑" w:eastAsia="微软雅黑"/>
          <w:color w:val="333333"/>
        </w:rPr>
      </w:pPr>
      <w:bookmarkStart w:id="0" w:name="_GoBack"/>
      <w:bookmarkEnd w:id="0"/>
      <w:r>
        <w:rPr>
          <w:rFonts w:hint="eastAsia" w:ascii="微软雅黑" w:hAnsi="微软雅黑" w:eastAsia="微软雅黑"/>
          <w:color w:val="333333"/>
        </w:rPr>
        <w:t>附件1：</w:t>
      </w:r>
    </w:p>
    <w:p>
      <w:pPr>
        <w:pStyle w:val="7"/>
        <w:shd w:val="clear" w:color="auto" w:fill="FFFFFF"/>
        <w:spacing w:beforeAutospacing="0" w:afterAutospacing="0"/>
        <w:jc w:val="center"/>
        <w:rPr>
          <w:rFonts w:ascii="微软雅黑" w:hAnsi="微软雅黑" w:eastAsia="微软雅黑"/>
          <w:color w:val="333333"/>
        </w:rPr>
      </w:pPr>
      <w:r>
        <w:rPr>
          <w:rFonts w:hint="eastAsia" w:ascii="微软雅黑" w:hAnsi="微软雅黑" w:eastAsia="微软雅黑"/>
          <w:color w:val="333333"/>
          <w:lang w:val="en-US" w:eastAsia="zh-CN"/>
        </w:rPr>
        <w:t xml:space="preserve">     </w:t>
      </w:r>
      <w:r>
        <w:rPr>
          <w:rFonts w:hint="eastAsia" w:ascii="微软雅黑" w:hAnsi="微软雅黑" w:eastAsia="微软雅黑"/>
          <w:color w:val="333333"/>
        </w:rPr>
        <w:t>福州市连江环境监测站2024年实验室资质能力认证拟扩项项目及其方法</w:t>
      </w:r>
    </w:p>
    <w:tbl>
      <w:tblPr>
        <w:tblStyle w:val="8"/>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88"/>
        <w:gridCol w:w="1641"/>
        <w:gridCol w:w="6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9"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宋体" w:cs="Times New Roman"/>
                <w:color w:val="000000"/>
                <w:kern w:val="0"/>
                <w:szCs w:val="21"/>
              </w:rPr>
              <w:t>序号</w:t>
            </w:r>
          </w:p>
        </w:tc>
        <w:tc>
          <w:tcPr>
            <w:tcW w:w="1641" w:type="dxa"/>
            <w:vAlign w:val="center"/>
          </w:tcPr>
          <w:p>
            <w:pPr>
              <w:widowControl/>
              <w:jc w:val="center"/>
              <w:textAlignment w:val="center"/>
              <w:rPr>
                <w:rFonts w:ascii="Times New Roman" w:hAnsi="Times New Roman" w:cs="Times New Roman"/>
                <w:color w:val="000000"/>
                <w:szCs w:val="21"/>
              </w:rPr>
            </w:pPr>
            <w:r>
              <w:rPr>
                <w:rFonts w:ascii="Times New Roman" w:hAnsi="宋体" w:cs="Times New Roman"/>
                <w:color w:val="000000"/>
                <w:kern w:val="0"/>
                <w:szCs w:val="21"/>
              </w:rPr>
              <w:t>项目名称</w:t>
            </w:r>
          </w:p>
        </w:tc>
        <w:tc>
          <w:tcPr>
            <w:tcW w:w="6811" w:type="dxa"/>
            <w:vAlign w:val="center"/>
          </w:tcPr>
          <w:p>
            <w:pPr>
              <w:widowControl/>
              <w:jc w:val="center"/>
              <w:textAlignment w:val="center"/>
              <w:rPr>
                <w:rFonts w:ascii="Times New Roman" w:hAnsi="Times New Roman" w:cs="Times New Roman"/>
                <w:color w:val="000000"/>
                <w:szCs w:val="21"/>
              </w:rPr>
            </w:pPr>
            <w:r>
              <w:rPr>
                <w:rFonts w:ascii="Times New Roman" w:hAnsi="宋体" w:cs="Times New Roman"/>
                <w:color w:val="000000"/>
                <w:kern w:val="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1</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粪大肠菌群</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粪大肠菌群的测定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多管发酵法</w:t>
            </w:r>
            <w:r>
              <w:rPr>
                <w:rFonts w:ascii="Times New Roman" w:hAnsi="Times New Roman" w:cs="Times New Roman"/>
                <w:color w:val="000000"/>
                <w:kern w:val="0"/>
                <w:szCs w:val="21"/>
              </w:rPr>
              <w:t xml:space="preserve"> HJ 347.2-2018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2</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粪大肠菌群</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总大肠菌群、粪大肠菌群和大肠埃希氏菌的测定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酶底物法</w:t>
            </w:r>
            <w:r>
              <w:rPr>
                <w:rFonts w:ascii="Times New Roman" w:hAnsi="Times New Roman" w:cs="Times New Roman"/>
                <w:color w:val="000000"/>
                <w:kern w:val="0"/>
                <w:szCs w:val="21"/>
              </w:rPr>
              <w:t xml:space="preserve"> HJ 1001-2018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3</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浊度（浑浊度）</w:t>
            </w:r>
            <w:r>
              <w:rPr>
                <w:rFonts w:ascii="Times New Roman" w:hAnsi="Times New Roman" w:cs="Times New Roman"/>
                <w:color w:val="000000"/>
                <w:kern w:val="0"/>
                <w:szCs w:val="21"/>
              </w:rPr>
              <w:t>(</w:t>
            </w:r>
            <w:r>
              <w:rPr>
                <w:rFonts w:ascii="Times New Roman" w:hAnsi="宋体" w:cs="Times New Roman"/>
                <w:color w:val="000000"/>
                <w:kern w:val="0"/>
                <w:szCs w:val="21"/>
              </w:rPr>
              <w:t>水</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浊度的测定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浊度计法</w:t>
            </w:r>
            <w:r>
              <w:rPr>
                <w:rFonts w:ascii="Times New Roman" w:hAnsi="Times New Roman" w:cs="Times New Roman"/>
                <w:color w:val="000000"/>
                <w:kern w:val="0"/>
                <w:szCs w:val="21"/>
              </w:rPr>
              <w:t xml:space="preserve"> HJ1075-2019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4</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硒</w:t>
            </w:r>
            <w:r>
              <w:rPr>
                <w:rFonts w:ascii="Times New Roman" w:hAnsi="Times New Roman" w:cs="Times New Roman"/>
                <w:color w:val="000000"/>
                <w:kern w:val="0"/>
                <w:szCs w:val="21"/>
              </w:rPr>
              <w:t>(</w:t>
            </w:r>
            <w:r>
              <w:rPr>
                <w:rFonts w:ascii="Times New Roman" w:hAnsi="宋体" w:cs="Times New Roman"/>
                <w:color w:val="000000"/>
                <w:kern w:val="0"/>
                <w:szCs w:val="21"/>
              </w:rPr>
              <w:t>水</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汞、砷、硒、铋和锑的测定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原子荧光法</w:t>
            </w:r>
            <w:r>
              <w:rPr>
                <w:rFonts w:ascii="Times New Roman" w:hAnsi="Times New Roman" w:cs="Times New Roman"/>
                <w:color w:val="000000"/>
                <w:kern w:val="0"/>
                <w:szCs w:val="21"/>
              </w:rPr>
              <w:t xml:space="preserve"> HJ 694—2014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5</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叶绿素</w:t>
            </w:r>
            <w:r>
              <w:rPr>
                <w:rFonts w:ascii="Times New Roman" w:hAnsi="Times New Roman" w:cs="Times New Roman"/>
                <w:color w:val="000000"/>
                <w:kern w:val="0"/>
                <w:szCs w:val="21"/>
              </w:rPr>
              <w:t>a(</w:t>
            </w:r>
            <w:r>
              <w:rPr>
                <w:rFonts w:ascii="Times New Roman" w:hAnsi="宋体" w:cs="Times New Roman"/>
                <w:color w:val="000000"/>
                <w:kern w:val="0"/>
                <w:szCs w:val="21"/>
              </w:rPr>
              <w:t>生物</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叶绿素</w:t>
            </w:r>
            <w:r>
              <w:rPr>
                <w:rFonts w:ascii="Times New Roman" w:hAnsi="Times New Roman" w:cs="Times New Roman"/>
                <w:color w:val="000000"/>
                <w:kern w:val="0"/>
                <w:szCs w:val="21"/>
              </w:rPr>
              <w:t>α</w:t>
            </w:r>
            <w:r>
              <w:rPr>
                <w:rFonts w:ascii="Times New Roman" w:hAnsi="宋体" w:cs="Times New Roman"/>
                <w:color w:val="000000"/>
                <w:kern w:val="0"/>
                <w:szCs w:val="21"/>
              </w:rPr>
              <w:t>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分光光度法</w:t>
            </w:r>
            <w:r>
              <w:rPr>
                <w:rFonts w:ascii="Times New Roman" w:hAnsi="Times New Roman" w:cs="Times New Roman"/>
                <w:color w:val="000000"/>
                <w:kern w:val="0"/>
                <w:szCs w:val="21"/>
              </w:rPr>
              <w:t xml:space="preserve"> HJ897-2017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6</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一氧化碳</w:t>
            </w:r>
            <w:r>
              <w:rPr>
                <w:rFonts w:ascii="Times New Roman" w:hAnsi="Times New Roman" w:cs="Times New Roman"/>
                <w:color w:val="000000"/>
                <w:kern w:val="0"/>
                <w:szCs w:val="21"/>
              </w:rPr>
              <w:t>(</w:t>
            </w:r>
            <w:r>
              <w:rPr>
                <w:rFonts w:ascii="Times New Roman" w:hAnsi="宋体" w:cs="Times New Roman"/>
                <w:color w:val="000000"/>
                <w:kern w:val="0"/>
                <w:szCs w:val="21"/>
              </w:rPr>
              <w:t>气</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固定污染源废气</w:t>
            </w:r>
            <w:r>
              <w:rPr>
                <w:rFonts w:ascii="Times New Roman" w:hAnsi="Times New Roman" w:cs="Times New Roman"/>
                <w:color w:val="000000"/>
                <w:kern w:val="0"/>
                <w:szCs w:val="21"/>
              </w:rPr>
              <w:t xml:space="preserve"> </w:t>
            </w:r>
            <w:r>
              <w:rPr>
                <w:rFonts w:ascii="Times New Roman" w:hAnsi="宋体" w:cs="Times New Roman"/>
                <w:color w:val="000000"/>
                <w:kern w:val="0"/>
                <w:szCs w:val="21"/>
              </w:rPr>
              <w:t>一氧化碳的测定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定电位电解法</w:t>
            </w:r>
            <w:r>
              <w:rPr>
                <w:rFonts w:ascii="Times New Roman" w:hAnsi="Times New Roman" w:cs="Times New Roman"/>
                <w:color w:val="000000"/>
                <w:kern w:val="0"/>
                <w:szCs w:val="21"/>
              </w:rPr>
              <w:t xml:space="preserve"> HJ 973-2018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7</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石油类</w:t>
            </w:r>
            <w:r>
              <w:rPr>
                <w:rFonts w:ascii="Times New Roman" w:hAnsi="Times New Roman" w:cs="Times New Roman"/>
                <w:color w:val="000000"/>
                <w:kern w:val="0"/>
                <w:szCs w:val="21"/>
              </w:rPr>
              <w:t>(</w:t>
            </w:r>
            <w:r>
              <w:rPr>
                <w:rFonts w:ascii="Times New Roman" w:hAnsi="宋体" w:cs="Times New Roman"/>
                <w:color w:val="000000"/>
                <w:kern w:val="0"/>
                <w:szCs w:val="21"/>
              </w:rPr>
              <w:t>水</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水质石油类的测定紫外分光光度法</w:t>
            </w:r>
            <w:r>
              <w:rPr>
                <w:rFonts w:ascii="Times New Roman" w:hAnsi="Times New Roman" w:cs="Times New Roman"/>
                <w:color w:val="000000"/>
                <w:kern w:val="0"/>
                <w:szCs w:val="21"/>
              </w:rPr>
              <w:t>(</w:t>
            </w:r>
            <w:r>
              <w:rPr>
                <w:rFonts w:ascii="Times New Roman" w:hAnsi="宋体" w:cs="Times New Roman"/>
                <w:color w:val="000000"/>
                <w:kern w:val="0"/>
                <w:szCs w:val="21"/>
              </w:rPr>
              <w:t>试行</w:t>
            </w:r>
            <w:r>
              <w:rPr>
                <w:rFonts w:ascii="Times New Roman" w:hAnsi="Times New Roman" w:cs="Times New Roman"/>
                <w:color w:val="000000"/>
                <w:kern w:val="0"/>
                <w:szCs w:val="21"/>
              </w:rPr>
              <w:t>) HJ970-2018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8</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石油类</w:t>
            </w:r>
            <w:r>
              <w:rPr>
                <w:rFonts w:ascii="Times New Roman" w:hAnsi="Times New Roman" w:cs="Times New Roman"/>
                <w:color w:val="000000"/>
                <w:kern w:val="0"/>
                <w:szCs w:val="21"/>
              </w:rPr>
              <w:t>(</w:t>
            </w:r>
            <w:r>
              <w:rPr>
                <w:rFonts w:ascii="Times New Roman" w:hAnsi="宋体" w:cs="Times New Roman"/>
                <w:color w:val="000000"/>
                <w:kern w:val="0"/>
                <w:szCs w:val="21"/>
              </w:rPr>
              <w:t>水</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石油类和动植物油类的测定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红外分光光度法</w:t>
            </w:r>
            <w:r>
              <w:rPr>
                <w:rFonts w:ascii="Times New Roman" w:hAnsi="Times New Roman" w:cs="Times New Roman"/>
                <w:color w:val="000000"/>
                <w:kern w:val="0"/>
                <w:szCs w:val="21"/>
              </w:rPr>
              <w:t xml:space="preserve"> HJ 637-2018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9</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动植物油</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水质</w:t>
            </w:r>
            <w:r>
              <w:rPr>
                <w:rFonts w:ascii="Times New Roman" w:hAnsi="Times New Roman" w:cs="Times New Roman"/>
                <w:color w:val="000000"/>
                <w:kern w:val="0"/>
                <w:szCs w:val="21"/>
              </w:rPr>
              <w:t xml:space="preserve"> </w:t>
            </w:r>
            <w:r>
              <w:rPr>
                <w:rFonts w:ascii="Times New Roman" w:hAnsi="宋体" w:cs="Times New Roman"/>
                <w:color w:val="000000"/>
                <w:kern w:val="0"/>
                <w:szCs w:val="21"/>
              </w:rPr>
              <w:t>石油类和动植物油类的测定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红外分光光度法</w:t>
            </w:r>
            <w:r>
              <w:rPr>
                <w:rFonts w:ascii="Times New Roman" w:hAnsi="Times New Roman" w:cs="Times New Roman"/>
                <w:color w:val="000000"/>
                <w:kern w:val="0"/>
                <w:szCs w:val="21"/>
              </w:rPr>
              <w:t xml:space="preserve"> HJ 637-2018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8"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10</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苯系物</w:t>
            </w:r>
            <w:r>
              <w:rPr>
                <w:rFonts w:ascii="Times New Roman" w:hAnsi="Times New Roman" w:cs="Times New Roman"/>
                <w:color w:val="000000"/>
                <w:kern w:val="0"/>
                <w:szCs w:val="21"/>
              </w:rPr>
              <w:t>(</w:t>
            </w:r>
            <w:r>
              <w:rPr>
                <w:rFonts w:ascii="Times New Roman" w:hAnsi="宋体" w:cs="Times New Roman"/>
                <w:color w:val="000000"/>
                <w:kern w:val="0"/>
                <w:szCs w:val="21"/>
              </w:rPr>
              <w:t>气</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固定污染源废气</w:t>
            </w:r>
            <w:r>
              <w:rPr>
                <w:rFonts w:ascii="Times New Roman" w:hAnsi="Times New Roman" w:cs="Times New Roman"/>
                <w:color w:val="000000"/>
                <w:kern w:val="0"/>
                <w:szCs w:val="21"/>
              </w:rPr>
              <w:t xml:space="preserve"> </w:t>
            </w:r>
            <w:r>
              <w:rPr>
                <w:rFonts w:ascii="Times New Roman" w:hAnsi="宋体" w:cs="Times New Roman"/>
                <w:color w:val="000000"/>
                <w:kern w:val="0"/>
                <w:szCs w:val="21"/>
              </w:rPr>
              <w:t>苯系物的测定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气袋采样</w:t>
            </w:r>
            <w:r>
              <w:rPr>
                <w:rFonts w:ascii="Times New Roman" w:hAnsi="Times New Roman" w:cs="Times New Roman"/>
                <w:color w:val="000000"/>
                <w:kern w:val="0"/>
                <w:szCs w:val="21"/>
              </w:rPr>
              <w:t>/</w:t>
            </w:r>
            <w:r>
              <w:rPr>
                <w:rFonts w:ascii="Times New Roman" w:hAnsi="宋体" w:cs="Times New Roman"/>
                <w:color w:val="000000"/>
                <w:kern w:val="0"/>
                <w:szCs w:val="21"/>
              </w:rPr>
              <w:t>直接进样</w:t>
            </w:r>
            <w:r>
              <w:rPr>
                <w:rFonts w:ascii="Times New Roman" w:hAnsi="Times New Roman" w:cs="Times New Roman"/>
                <w:color w:val="000000"/>
                <w:kern w:val="0"/>
                <w:szCs w:val="21"/>
              </w:rPr>
              <w:t>-</w:t>
            </w:r>
            <w:r>
              <w:rPr>
                <w:rFonts w:ascii="Times New Roman" w:hAnsi="宋体" w:cs="Times New Roman"/>
                <w:color w:val="000000"/>
                <w:kern w:val="0"/>
                <w:szCs w:val="21"/>
              </w:rPr>
              <w:t>气相色谱法（</w:t>
            </w:r>
            <w:r>
              <w:rPr>
                <w:rFonts w:ascii="Times New Roman" w:hAnsi="Times New Roman" w:cs="Times New Roman"/>
                <w:color w:val="000000"/>
                <w:kern w:val="0"/>
                <w:szCs w:val="21"/>
              </w:rPr>
              <w:t>HJ 1261-2022</w:t>
            </w:r>
            <w:r>
              <w:rPr>
                <w:rFonts w:ascii="Times New Roman" w:hAnsi="宋体" w:cs="Times New Roman"/>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888" w:type="dxa"/>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rPr>
              <w:t>11</w:t>
            </w:r>
          </w:p>
        </w:tc>
        <w:tc>
          <w:tcPr>
            <w:tcW w:w="164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苯系物</w:t>
            </w:r>
            <w:r>
              <w:rPr>
                <w:rFonts w:ascii="Times New Roman" w:hAnsi="Times New Roman" w:cs="Times New Roman"/>
                <w:color w:val="000000"/>
                <w:kern w:val="0"/>
                <w:szCs w:val="21"/>
              </w:rPr>
              <w:t>(</w:t>
            </w:r>
            <w:r>
              <w:rPr>
                <w:rFonts w:ascii="Times New Roman" w:hAnsi="宋体" w:cs="Times New Roman"/>
                <w:color w:val="000000"/>
                <w:kern w:val="0"/>
                <w:szCs w:val="21"/>
              </w:rPr>
              <w:t>气</w:t>
            </w:r>
            <w:r>
              <w:rPr>
                <w:rFonts w:ascii="Times New Roman" w:hAnsi="Times New Roman" w:cs="Times New Roman"/>
                <w:color w:val="000000"/>
                <w:kern w:val="0"/>
                <w:szCs w:val="21"/>
              </w:rPr>
              <w:t>)</w:t>
            </w:r>
          </w:p>
        </w:tc>
        <w:tc>
          <w:tcPr>
            <w:tcW w:w="6811" w:type="dxa"/>
            <w:vAlign w:val="center"/>
          </w:tcPr>
          <w:p>
            <w:pPr>
              <w:widowControl/>
              <w:jc w:val="left"/>
              <w:textAlignment w:val="center"/>
              <w:rPr>
                <w:rFonts w:ascii="Times New Roman" w:hAnsi="Times New Roman" w:cs="Times New Roman"/>
                <w:color w:val="000000"/>
                <w:szCs w:val="21"/>
              </w:rPr>
            </w:pPr>
            <w:r>
              <w:rPr>
                <w:rFonts w:ascii="Times New Roman" w:hAnsi="宋体" w:cs="Times New Roman"/>
                <w:color w:val="000000"/>
                <w:kern w:val="0"/>
                <w:szCs w:val="21"/>
              </w:rPr>
              <w:t>工业涂装工序挥发性有机物排放标准（</w:t>
            </w:r>
            <w:r>
              <w:rPr>
                <w:rFonts w:ascii="Times New Roman" w:hAnsi="Times New Roman" w:cs="Times New Roman"/>
                <w:color w:val="000000"/>
                <w:kern w:val="0"/>
                <w:szCs w:val="21"/>
              </w:rPr>
              <w:t>DB35/ 1783—2018</w:t>
            </w:r>
            <w:r>
              <w:rPr>
                <w:rFonts w:ascii="Times New Roman" w:hAnsi="宋体" w:cs="Times New Roman"/>
                <w:color w:val="000000"/>
                <w:kern w:val="0"/>
                <w:szCs w:val="21"/>
              </w:rPr>
              <w:t>）中附录</w:t>
            </w:r>
            <w:r>
              <w:rPr>
                <w:rFonts w:ascii="Times New Roman" w:hAnsi="Times New Roman" w:cs="Times New Roman"/>
                <w:color w:val="000000"/>
                <w:kern w:val="0"/>
                <w:szCs w:val="21"/>
              </w:rPr>
              <w:t>E</w:t>
            </w:r>
            <w:r>
              <w:rPr>
                <w:rFonts w:ascii="Times New Roman" w:hAnsi="宋体" w:cs="Times New Roman"/>
                <w:color w:val="000000"/>
                <w:kern w:val="0"/>
                <w:szCs w:val="21"/>
              </w:rPr>
              <w:t>固定污染源废气</w:t>
            </w:r>
            <w:r>
              <w:rPr>
                <w:rFonts w:ascii="Times New Roman" w:hAnsi="Times New Roman" w:cs="Times New Roman"/>
                <w:color w:val="000000"/>
                <w:kern w:val="0"/>
                <w:szCs w:val="21"/>
              </w:rPr>
              <w:t xml:space="preserve"> </w:t>
            </w:r>
            <w:r>
              <w:rPr>
                <w:rFonts w:ascii="Times New Roman" w:hAnsi="宋体" w:cs="Times New Roman"/>
                <w:color w:val="000000"/>
                <w:kern w:val="0"/>
                <w:szCs w:val="21"/>
              </w:rPr>
              <w:t>苯系物的测定</w:t>
            </w:r>
            <w:r>
              <w:rPr>
                <w:rFonts w:ascii="Times New Roman" w:hAnsi="Times New Roman" w:cs="Times New Roman"/>
                <w:color w:val="000000"/>
                <w:kern w:val="0"/>
                <w:szCs w:val="21"/>
              </w:rPr>
              <w:t xml:space="preserve"> </w:t>
            </w:r>
            <w:r>
              <w:rPr>
                <w:rFonts w:ascii="Times New Roman" w:hAnsi="宋体" w:cs="Times New Roman"/>
                <w:color w:val="000000"/>
                <w:kern w:val="0"/>
                <w:szCs w:val="21"/>
              </w:rPr>
              <w:t>气袋采样</w:t>
            </w:r>
            <w:r>
              <w:rPr>
                <w:rFonts w:ascii="Times New Roman" w:hAnsi="Times New Roman" w:cs="Times New Roman"/>
                <w:color w:val="000000"/>
                <w:kern w:val="0"/>
                <w:szCs w:val="21"/>
              </w:rPr>
              <w:t>-</w:t>
            </w:r>
            <w:r>
              <w:rPr>
                <w:rFonts w:ascii="Times New Roman" w:hAnsi="宋体" w:cs="Times New Roman"/>
                <w:color w:val="000000"/>
                <w:kern w:val="0"/>
                <w:szCs w:val="21"/>
              </w:rPr>
              <w:t>气相色谱法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888" w:type="dxa"/>
            <w:vAlign w:val="center"/>
          </w:tcPr>
          <w:p>
            <w:pPr>
              <w:widowControl/>
              <w:jc w:val="center"/>
              <w:textAlignment w:val="center"/>
              <w:rPr>
                <w:rFonts w:hint="eastAsia" w:ascii="Times New Roman" w:hAnsi="Times New Roman" w:eastAsia="宋体" w:cs="Times New Roman"/>
                <w:color w:val="000000"/>
                <w:kern w:val="0"/>
                <w:szCs w:val="21"/>
                <w:lang w:val="en-US" w:eastAsia="zh-CN"/>
              </w:rPr>
            </w:pPr>
            <w:r>
              <w:rPr>
                <w:rFonts w:hint="eastAsia" w:ascii="Times New Roman" w:hAnsi="Times New Roman" w:cs="Times New Roman"/>
                <w:color w:val="000000"/>
                <w:kern w:val="0"/>
                <w:szCs w:val="21"/>
                <w:lang w:val="en-US" w:eastAsia="zh-CN"/>
              </w:rPr>
              <w:t>12</w:t>
            </w:r>
          </w:p>
        </w:tc>
        <w:tc>
          <w:tcPr>
            <w:tcW w:w="1641" w:type="dxa"/>
            <w:vAlign w:val="center"/>
          </w:tcPr>
          <w:p>
            <w:pPr>
              <w:widowControl/>
              <w:jc w:val="left"/>
              <w:textAlignment w:val="center"/>
              <w:rPr>
                <w:rFonts w:hint="eastAsia" w:ascii="Times New Roman" w:hAnsi="宋体" w:eastAsia="宋体" w:cs="Times New Roman"/>
                <w:color w:val="000000"/>
                <w:kern w:val="0"/>
                <w:szCs w:val="21"/>
                <w:lang w:val="en-US" w:eastAsia="zh-CN"/>
              </w:rPr>
            </w:pPr>
            <w:r>
              <w:rPr>
                <w:rFonts w:hint="eastAsia" w:ascii="Times New Roman" w:hAnsi="宋体" w:cs="Times New Roman"/>
                <w:color w:val="000000"/>
                <w:kern w:val="0"/>
                <w:szCs w:val="21"/>
                <w:lang w:val="en-US" w:eastAsia="zh-CN"/>
              </w:rPr>
              <w:t>总悬浮颗粒物</w:t>
            </w:r>
          </w:p>
        </w:tc>
        <w:tc>
          <w:tcPr>
            <w:tcW w:w="6811" w:type="dxa"/>
            <w:vAlign w:val="center"/>
          </w:tcPr>
          <w:p>
            <w:pPr>
              <w:widowControl/>
              <w:jc w:val="left"/>
              <w:textAlignment w:val="center"/>
              <w:rPr>
                <w:rFonts w:ascii="Times New Roman" w:hAnsi="宋体" w:cs="Times New Roman"/>
                <w:color w:val="000000"/>
                <w:kern w:val="0"/>
                <w:szCs w:val="21"/>
              </w:rPr>
            </w:pPr>
            <w:r>
              <w:rPr>
                <w:rFonts w:hint="eastAsia" w:ascii="Times New Roman" w:hAnsi="Times New Roman" w:cs="Times New Roman"/>
                <w:color w:val="000000"/>
                <w:kern w:val="0"/>
                <w:szCs w:val="21"/>
                <w:lang w:val="en-US" w:eastAsia="zh-CN"/>
              </w:rPr>
              <w:t>环境空气 总悬浮颗粒物的测定 重量法（HJ 1263-2022）</w:t>
            </w:r>
          </w:p>
        </w:tc>
      </w:tr>
    </w:tbl>
    <w:p>
      <w:pPr>
        <w:pStyle w:val="7"/>
        <w:shd w:val="clear" w:color="auto" w:fill="FFFFFF"/>
        <w:wordWrap w:val="0"/>
        <w:spacing w:beforeAutospacing="0" w:afterAutospacing="0"/>
        <w:jc w:val="right"/>
        <w:rPr>
          <w:rFonts w:ascii="微软雅黑" w:hAnsi="微软雅黑" w:eastAsia="微软雅黑"/>
          <w:color w:val="333333"/>
        </w:rPr>
      </w:pPr>
    </w:p>
    <w:p>
      <w:pPr>
        <w:widowControl/>
        <w:jc w:val="left"/>
        <w:rPr>
          <w:rFonts w:ascii="微软雅黑" w:hAnsi="微软雅黑" w:eastAsia="微软雅黑" w:cs="Times New Roman"/>
          <w:color w:val="333333"/>
          <w:kern w:val="0"/>
          <w:sz w:val="24"/>
        </w:rPr>
      </w:pPr>
      <w:r>
        <w:rPr>
          <w:rFonts w:ascii="微软雅黑" w:hAnsi="微软雅黑" w:eastAsia="微软雅黑"/>
          <w:color w:val="333333"/>
        </w:rPr>
        <w:br w:type="page"/>
      </w:r>
    </w:p>
    <w:p>
      <w:pPr>
        <w:pStyle w:val="7"/>
        <w:shd w:val="clear" w:color="auto" w:fill="FFFFFF"/>
        <w:spacing w:beforeAutospacing="0" w:afterAutospacing="0"/>
        <w:rPr>
          <w:rFonts w:hint="eastAsia" w:ascii="微软雅黑" w:hAnsi="微软雅黑" w:eastAsia="微软雅黑"/>
          <w:color w:val="333333"/>
          <w:lang w:val="en-US" w:eastAsia="zh-CN"/>
        </w:rPr>
      </w:pPr>
      <w:r>
        <w:rPr>
          <w:rFonts w:hint="eastAsia" w:ascii="微软雅黑" w:hAnsi="微软雅黑" w:eastAsia="微软雅黑"/>
          <w:color w:val="333333"/>
        </w:rPr>
        <w:t>附件2：</w:t>
      </w:r>
      <w:r>
        <w:rPr>
          <w:rFonts w:hint="eastAsia" w:ascii="微软雅黑" w:hAnsi="微软雅黑" w:eastAsia="微软雅黑"/>
          <w:color w:val="333333"/>
          <w:lang w:val="en-US" w:eastAsia="zh-CN"/>
        </w:rPr>
        <w:t xml:space="preserve">                         </w:t>
      </w:r>
    </w:p>
    <w:p>
      <w:pPr>
        <w:widowControl/>
        <w:shd w:val="clear" w:color="auto" w:fill="FFFFFF"/>
        <w:spacing w:line="360" w:lineRule="auto"/>
        <w:jc w:val="center"/>
        <w:outlineLvl w:val="0"/>
        <w:rPr>
          <w:rFonts w:ascii="宋体" w:hAnsi="宋体" w:cs="黑体"/>
          <w:b/>
          <w:sz w:val="28"/>
          <w:szCs w:val="28"/>
          <w:shd w:val="clear" w:color="auto" w:fill="FFFFFF"/>
        </w:rPr>
      </w:pPr>
      <w:r>
        <w:rPr>
          <w:rFonts w:hint="eastAsia" w:ascii="宋体" w:hAnsi="宋体" w:cs="黑体"/>
          <w:b/>
          <w:sz w:val="28"/>
          <w:szCs w:val="28"/>
          <w:shd w:val="clear" w:color="auto" w:fill="FFFFFF"/>
          <w:lang w:eastAsia="zh-CN"/>
        </w:rPr>
        <w:t>扩项评审</w:t>
      </w:r>
      <w:r>
        <w:rPr>
          <w:rFonts w:hint="eastAsia" w:ascii="宋体" w:hAnsi="宋体" w:cs="黑体"/>
          <w:b/>
          <w:sz w:val="28"/>
          <w:szCs w:val="28"/>
          <w:shd w:val="clear" w:color="auto" w:fill="FFFFFF"/>
        </w:rPr>
        <w:t>具体工作</w:t>
      </w:r>
      <w:r>
        <w:rPr>
          <w:rFonts w:hint="eastAsia" w:ascii="宋体" w:hAnsi="宋体" w:cs="黑体"/>
          <w:b/>
          <w:sz w:val="28"/>
          <w:szCs w:val="28"/>
          <w:shd w:val="clear" w:color="auto" w:fill="FFFFFF"/>
          <w:lang w:eastAsia="zh-CN"/>
        </w:rPr>
        <w:t>事项</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line="276" w:lineRule="auto"/>
              <w:jc w:val="center"/>
              <w:rPr>
                <w:rFonts w:ascii="宋体" w:hAnsi="宋体" w:eastAsia="宋体" w:cs="仿宋_GB2312"/>
                <w:bCs/>
                <w:kern w:val="2"/>
              </w:rPr>
            </w:pPr>
            <w:r>
              <w:rPr>
                <w:rFonts w:hint="eastAsia" w:ascii="宋体" w:hAnsi="宋体" w:eastAsia="宋体" w:cs="仿宋_GB2312"/>
                <w:bCs/>
                <w:kern w:val="2"/>
              </w:rPr>
              <w:t>序号</w:t>
            </w:r>
          </w:p>
        </w:tc>
        <w:tc>
          <w:tcPr>
            <w:tcW w:w="1276" w:type="dxa"/>
            <w:vAlign w:val="top"/>
          </w:tcPr>
          <w:p>
            <w:pPr>
              <w:pStyle w:val="7"/>
              <w:widowControl/>
              <w:spacing w:beforeAutospacing="0" w:afterAutospacing="0" w:line="276" w:lineRule="auto"/>
              <w:jc w:val="center"/>
              <w:rPr>
                <w:rFonts w:ascii="宋体" w:hAnsi="宋体" w:eastAsia="宋体" w:cs="仿宋_GB2312"/>
                <w:bCs/>
                <w:kern w:val="2"/>
              </w:rPr>
            </w:pPr>
            <w:r>
              <w:rPr>
                <w:rFonts w:hint="eastAsia" w:ascii="宋体" w:hAnsi="宋体" w:eastAsia="宋体" w:cs="仿宋_GB2312"/>
                <w:bCs/>
                <w:kern w:val="2"/>
              </w:rPr>
              <w:t>类别</w:t>
            </w:r>
          </w:p>
        </w:tc>
        <w:tc>
          <w:tcPr>
            <w:tcW w:w="6429" w:type="dxa"/>
            <w:vAlign w:val="top"/>
          </w:tcPr>
          <w:p>
            <w:pPr>
              <w:pStyle w:val="7"/>
              <w:widowControl/>
              <w:spacing w:beforeAutospacing="0" w:afterAutospacing="0" w:line="276" w:lineRule="auto"/>
              <w:jc w:val="center"/>
              <w:rPr>
                <w:rFonts w:ascii="宋体" w:hAnsi="宋体" w:eastAsia="宋体" w:cs="仿宋_GB2312"/>
                <w:bCs/>
                <w:kern w:val="2"/>
              </w:rPr>
            </w:pPr>
            <w:r>
              <w:rPr>
                <w:rFonts w:hint="eastAsia" w:ascii="宋体" w:hAnsi="宋体" w:eastAsia="宋体" w:cs="仿宋_GB2312"/>
                <w:bCs/>
                <w:kern w:val="2"/>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1</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体系文件修编</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1、质量手册及程序文件根据新评审准则进行修编或改版。</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2、完善管理类作业指导书及表单：包含但不限于纯水、易制毒易制爆药品、危险废物等。</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3、修编或增加技术类作业指导书：根据现有仪器设备的操作仪器、检测标准、仪器校核要求等增加或修订现有技术类作业指导书及期间核查作业指导书。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2</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人员管理</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1、人员培训：根据人员需要，组织对人员进行评审准则、方法验证、安全管理、内审、管理评审、检测方法等培训。</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2、人员考核：组织对人员进行技术考核，包含理论考核、实操考核。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3</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场所环境</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1、条件验收：按照标准、设备要求组织对环境条件进行验收。</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2、检查：对人员的环境监控记录进行监督检查。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4</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设备管理</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1、设备档案：对设备档案进行整理工作，包含但不限于设备档案清单，说明书，作业指导书，授权等。</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2、检定校准：组织人员进行检定校准确认工作。</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3、期间核查：组织人员进行期间核查工作。</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4、设备标识：组织对设备进行管理标识，校准标识管理工作。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5</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文件管理</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1、文件档案：按照体系文件内容，建立质量记录和技术记录档案文件。</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2、文件修订、分发、回收：组织人员编制修订申请，并办理文件分发回收。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6</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内部审核</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按照内部审核要求，组织人员进行内部审核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7</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管理评审</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按照管理评审要求，组织人员进行管理评审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8</w:t>
            </w:r>
          </w:p>
        </w:tc>
        <w:tc>
          <w:tcPr>
            <w:tcW w:w="1276" w:type="dxa"/>
            <w:vAlign w:val="center"/>
          </w:tcPr>
          <w:p>
            <w:pPr>
              <w:pStyle w:val="7"/>
              <w:widowControl/>
              <w:spacing w:beforeAutospacing="0" w:afterAutospacing="0"/>
              <w:jc w:val="center"/>
              <w:rPr>
                <w:rFonts w:ascii="宋体" w:hAnsi="宋体" w:eastAsia="宋体" w:cs="仿宋_GB2312"/>
                <w:bCs/>
                <w:kern w:val="2"/>
              </w:rPr>
            </w:pPr>
            <w:r>
              <w:rPr>
                <w:rFonts w:hint="eastAsia" w:ascii="宋体" w:hAnsi="宋体" w:eastAsia="宋体" w:cs="仿宋_GB2312"/>
                <w:bCs/>
                <w:kern w:val="2"/>
              </w:rPr>
              <w:t>方法验证</w:t>
            </w:r>
          </w:p>
        </w:tc>
        <w:tc>
          <w:tcPr>
            <w:tcW w:w="6429" w:type="dxa"/>
            <w:vAlign w:val="center"/>
          </w:tcPr>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1、组织人员进行方法验证培训。</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2、组织人员进行标准学习。</w:t>
            </w:r>
          </w:p>
          <w:p>
            <w:pPr>
              <w:pStyle w:val="7"/>
              <w:widowControl/>
              <w:spacing w:beforeAutospacing="0" w:afterAutospacing="0"/>
              <w:rPr>
                <w:rFonts w:ascii="宋体" w:hAnsi="宋体" w:eastAsia="宋体" w:cs="仿宋_GB2312"/>
                <w:bCs/>
                <w:kern w:val="2"/>
              </w:rPr>
            </w:pPr>
            <w:r>
              <w:rPr>
                <w:rFonts w:hint="eastAsia" w:ascii="宋体" w:hAnsi="宋体" w:eastAsia="宋体" w:cs="仿宋_GB2312"/>
                <w:bCs/>
                <w:kern w:val="2"/>
              </w:rPr>
              <w:t>3、组织人员进行方法验证报告编制及审核工作。</w:t>
            </w:r>
          </w:p>
        </w:tc>
      </w:tr>
    </w:tbl>
    <w:p>
      <w:pPr>
        <w:pStyle w:val="7"/>
        <w:shd w:val="clear" w:color="auto" w:fill="FFFFFF"/>
        <w:spacing w:beforeAutospacing="0" w:afterAutospacing="0"/>
        <w:jc w:val="left"/>
        <w:rPr>
          <w:rFonts w:hint="eastAsia" w:ascii="微软雅黑" w:hAnsi="微软雅黑" w:eastAsia="微软雅黑"/>
          <w:color w:val="333333"/>
          <w:lang w:eastAsia="zh-CN"/>
        </w:rPr>
      </w:pPr>
    </w:p>
    <w:p>
      <w:pPr>
        <w:pStyle w:val="7"/>
        <w:shd w:val="clear" w:color="auto" w:fill="FFFFFF"/>
        <w:spacing w:beforeAutospacing="0" w:afterAutospacing="0"/>
        <w:jc w:val="left"/>
        <w:rPr>
          <w:rFonts w:hint="eastAsia" w:ascii="微软雅黑" w:hAnsi="微软雅黑" w:eastAsia="微软雅黑"/>
          <w:color w:val="333333"/>
          <w:lang w:eastAsia="zh-CN"/>
        </w:rPr>
      </w:pPr>
    </w:p>
    <w:p>
      <w:pPr>
        <w:pStyle w:val="7"/>
        <w:shd w:val="clear" w:color="auto" w:fill="FFFFFF"/>
        <w:spacing w:beforeAutospacing="0" w:afterAutospacing="0"/>
        <w:jc w:val="left"/>
        <w:rPr>
          <w:rFonts w:hint="eastAsia" w:ascii="微软雅黑" w:hAnsi="微软雅黑" w:eastAsia="微软雅黑"/>
          <w:color w:val="333333"/>
          <w:lang w:eastAsia="zh-CN"/>
        </w:rPr>
      </w:pPr>
    </w:p>
    <w:p>
      <w:pPr>
        <w:pStyle w:val="7"/>
        <w:shd w:val="clear" w:color="auto" w:fill="FFFFFF"/>
        <w:spacing w:beforeAutospacing="0" w:afterAutospacing="0"/>
        <w:jc w:val="left"/>
        <w:rPr>
          <w:rFonts w:hint="eastAsia" w:ascii="微软雅黑" w:hAnsi="微软雅黑" w:eastAsia="微软雅黑"/>
          <w:color w:val="333333"/>
          <w:lang w:eastAsia="zh-CN"/>
        </w:rPr>
      </w:pPr>
    </w:p>
    <w:p>
      <w:pPr>
        <w:pStyle w:val="7"/>
        <w:shd w:val="clear" w:color="auto" w:fill="FFFFFF"/>
        <w:spacing w:beforeAutospacing="0" w:afterAutospacing="0"/>
        <w:jc w:val="left"/>
        <w:rPr>
          <w:rFonts w:hint="eastAsia" w:ascii="微软雅黑" w:hAnsi="微软雅黑" w:eastAsia="微软雅黑"/>
          <w:color w:val="333333"/>
          <w:lang w:eastAsia="zh-CN"/>
        </w:rPr>
      </w:pPr>
    </w:p>
    <w:p>
      <w:pPr>
        <w:pStyle w:val="7"/>
        <w:shd w:val="clear" w:color="auto" w:fill="FFFFFF"/>
        <w:spacing w:beforeAutospacing="0" w:afterAutospacing="0"/>
        <w:jc w:val="left"/>
        <w:rPr>
          <w:rFonts w:hint="eastAsia" w:ascii="微软雅黑" w:hAnsi="微软雅黑" w:eastAsia="微软雅黑"/>
          <w:color w:val="333333"/>
          <w:lang w:eastAsia="zh-CN"/>
        </w:rPr>
      </w:pPr>
      <w:r>
        <w:rPr>
          <w:rFonts w:hint="eastAsia" w:ascii="微软雅黑" w:hAnsi="微软雅黑" w:eastAsia="微软雅黑"/>
          <w:color w:val="333333"/>
          <w:lang w:eastAsia="zh-CN"/>
        </w:rPr>
        <w:t>附件</w:t>
      </w:r>
      <w:r>
        <w:rPr>
          <w:rFonts w:hint="eastAsia" w:ascii="微软雅黑" w:hAnsi="微软雅黑" w:eastAsia="微软雅黑"/>
          <w:color w:val="333333"/>
          <w:lang w:val="en-US" w:eastAsia="zh-CN"/>
        </w:rPr>
        <w:t>3：</w:t>
      </w:r>
    </w:p>
    <w:p>
      <w:pPr>
        <w:widowControl/>
        <w:shd w:val="clear" w:color="auto" w:fill="FFFFFF"/>
        <w:spacing w:line="360" w:lineRule="auto"/>
        <w:jc w:val="center"/>
        <w:outlineLvl w:val="0"/>
        <w:rPr>
          <w:rFonts w:hint="eastAsia" w:ascii="宋体" w:hAnsi="宋体" w:cs="黑体"/>
          <w:b/>
          <w:sz w:val="28"/>
          <w:szCs w:val="28"/>
          <w:shd w:val="clear" w:color="auto" w:fill="FFFFFF"/>
        </w:rPr>
      </w:pPr>
      <w:r>
        <w:rPr>
          <w:rFonts w:hint="eastAsia" w:ascii="宋体" w:hAnsi="宋体" w:cs="黑体"/>
          <w:b/>
          <w:sz w:val="28"/>
          <w:szCs w:val="28"/>
          <w:shd w:val="clear" w:color="auto" w:fill="FFFFFF"/>
        </w:rPr>
        <w:t>报名表</w:t>
      </w:r>
    </w:p>
    <w:tbl>
      <w:tblPr>
        <w:tblStyle w:val="8"/>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4"/>
        <w:gridCol w:w="6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1654"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 xml:space="preserve">项目名称：  </w:t>
            </w:r>
          </w:p>
        </w:tc>
        <w:tc>
          <w:tcPr>
            <w:tcW w:w="686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1654"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cs="宋体"/>
                <w:bCs/>
                <w:kern w:val="0"/>
                <w:szCs w:val="21"/>
                <w:lang w:eastAsia="zh-CN"/>
              </w:rPr>
              <w:t>报名</w:t>
            </w:r>
            <w:r>
              <w:rPr>
                <w:rFonts w:hint="eastAsia" w:ascii="宋体" w:hAnsi="宋体" w:eastAsia="宋体" w:cs="宋体"/>
                <w:bCs/>
                <w:kern w:val="0"/>
                <w:szCs w:val="21"/>
              </w:rPr>
              <w:t>公司全称</w:t>
            </w:r>
          </w:p>
        </w:tc>
        <w:tc>
          <w:tcPr>
            <w:tcW w:w="6868"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1654"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地址：</w:t>
            </w:r>
          </w:p>
        </w:tc>
        <w:tc>
          <w:tcPr>
            <w:tcW w:w="6868"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1654"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纳税人识别号</w:t>
            </w:r>
          </w:p>
        </w:tc>
        <w:tc>
          <w:tcPr>
            <w:tcW w:w="6868"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1654"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联系姓名</w:t>
            </w:r>
          </w:p>
        </w:tc>
        <w:tc>
          <w:tcPr>
            <w:tcW w:w="6868"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1654" w:type="dxa"/>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hAnsi="宋体" w:eastAsia="宋体" w:cs="宋体"/>
                <w:bCs/>
                <w:kern w:val="0"/>
                <w:szCs w:val="21"/>
                <w:lang w:eastAsia="zh-CN"/>
              </w:rPr>
            </w:pPr>
            <w:r>
              <w:rPr>
                <w:rFonts w:hint="eastAsia" w:ascii="宋体" w:hAnsi="宋体" w:cs="宋体"/>
                <w:bCs/>
                <w:kern w:val="0"/>
                <w:szCs w:val="21"/>
                <w:lang w:eastAsia="zh-CN"/>
              </w:rPr>
              <w:t>联系电话</w:t>
            </w:r>
          </w:p>
        </w:tc>
        <w:tc>
          <w:tcPr>
            <w:tcW w:w="6868"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eastAsia="宋体" w:cs="宋体"/>
                <w:bCs/>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trPr>
        <w:tc>
          <w:tcPr>
            <w:tcW w:w="1654"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邮箱：</w:t>
            </w:r>
          </w:p>
        </w:tc>
        <w:tc>
          <w:tcPr>
            <w:tcW w:w="6868" w:type="dxa"/>
            <w:tcBorders>
              <w:top w:val="single" w:color="auto" w:sz="4" w:space="0"/>
              <w:left w:val="nil"/>
              <w:bottom w:val="single" w:color="auto" w:sz="4" w:space="0"/>
              <w:right w:val="single" w:color="000000" w:sz="4" w:space="0"/>
            </w:tcBorders>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9" w:hRule="exact"/>
        </w:trPr>
        <w:tc>
          <w:tcPr>
            <w:tcW w:w="8522"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hAnsi="宋体" w:eastAsia="宋体" w:cs="宋体"/>
                <w:bCs/>
                <w:kern w:val="0"/>
                <w:szCs w:val="21"/>
              </w:rPr>
            </w:pPr>
          </w:p>
          <w:p>
            <w:pPr>
              <w:widowControl/>
              <w:jc w:val="left"/>
              <w:rPr>
                <w:rFonts w:hint="eastAsia" w:ascii="宋体" w:hAnsi="宋体" w:eastAsia="宋体" w:cs="宋体"/>
                <w:bCs/>
                <w:kern w:val="0"/>
                <w:szCs w:val="21"/>
                <w:lang w:eastAsia="zh-CN"/>
              </w:rPr>
            </w:pPr>
            <w:r>
              <w:rPr>
                <w:rFonts w:hint="eastAsia" w:ascii="宋体" w:hAnsi="宋体" w:cs="宋体"/>
                <w:bCs/>
                <w:kern w:val="0"/>
                <w:szCs w:val="21"/>
                <w:lang w:eastAsia="zh-CN"/>
              </w:rPr>
              <w:t>报名公司（盖章）：</w:t>
            </w:r>
          </w:p>
          <w:p>
            <w:pPr>
              <w:widowControl/>
              <w:jc w:val="left"/>
              <w:rPr>
                <w:rFonts w:hint="eastAsia" w:ascii="宋体" w:hAnsi="宋体" w:eastAsia="宋体" w:cs="宋体"/>
                <w:bCs/>
                <w:kern w:val="0"/>
                <w:szCs w:val="21"/>
              </w:rPr>
            </w:pPr>
          </w:p>
          <w:p>
            <w:pPr>
              <w:widowControl/>
              <w:jc w:val="left"/>
              <w:rPr>
                <w:rFonts w:ascii="宋体" w:hAnsi="宋体" w:eastAsia="宋体" w:cs="宋体"/>
                <w:bCs/>
                <w:kern w:val="0"/>
                <w:szCs w:val="21"/>
              </w:rPr>
            </w:pPr>
            <w:r>
              <w:rPr>
                <w:rFonts w:hint="eastAsia" w:ascii="宋体" w:hAnsi="宋体" w:eastAsia="宋体" w:cs="宋体"/>
                <w:bCs/>
                <w:kern w:val="0"/>
                <w:szCs w:val="21"/>
              </w:rPr>
              <w:t>报名日期：      年    月    日</w:t>
            </w:r>
          </w:p>
        </w:tc>
      </w:tr>
    </w:tbl>
    <w:p>
      <w:pPr>
        <w:pStyle w:val="7"/>
        <w:shd w:val="clear" w:color="auto" w:fill="FFFFFF"/>
        <w:spacing w:beforeAutospacing="0" w:afterAutospacing="0"/>
        <w:jc w:val="right"/>
        <w:rPr>
          <w:rFonts w:ascii="微软雅黑" w:hAnsi="微软雅黑" w:eastAsia="微软雅黑"/>
          <w:color w:val="333333"/>
        </w:rPr>
      </w:pPr>
      <w:r>
        <w:rPr>
          <w:rFonts w:hint="eastAsia" w:ascii="微软雅黑" w:hAnsi="微软雅黑" w:eastAsia="微软雅黑"/>
          <w:color w:val="333333"/>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YzQ0YzFjYWFiMWJjNWU1MDlkNDRiY2VlNzBiMjYifQ=="/>
  </w:docVars>
  <w:rsids>
    <w:rsidRoot w:val="00DE47AB"/>
    <w:rsid w:val="00037463"/>
    <w:rsid w:val="00146F1C"/>
    <w:rsid w:val="00166456"/>
    <w:rsid w:val="001776B0"/>
    <w:rsid w:val="001942F9"/>
    <w:rsid w:val="001C2617"/>
    <w:rsid w:val="001E389C"/>
    <w:rsid w:val="0024349E"/>
    <w:rsid w:val="00332EB0"/>
    <w:rsid w:val="003947EA"/>
    <w:rsid w:val="003D7A9D"/>
    <w:rsid w:val="0040211E"/>
    <w:rsid w:val="00405781"/>
    <w:rsid w:val="00424B35"/>
    <w:rsid w:val="004C7256"/>
    <w:rsid w:val="005B4D28"/>
    <w:rsid w:val="00610243"/>
    <w:rsid w:val="006C31D5"/>
    <w:rsid w:val="006E1B08"/>
    <w:rsid w:val="006F144D"/>
    <w:rsid w:val="007B2596"/>
    <w:rsid w:val="00823267"/>
    <w:rsid w:val="00840882"/>
    <w:rsid w:val="00842604"/>
    <w:rsid w:val="00843596"/>
    <w:rsid w:val="008B7B89"/>
    <w:rsid w:val="00902AEF"/>
    <w:rsid w:val="00935E8E"/>
    <w:rsid w:val="00A96A00"/>
    <w:rsid w:val="00A96D00"/>
    <w:rsid w:val="00B840AF"/>
    <w:rsid w:val="00B859B1"/>
    <w:rsid w:val="00C10175"/>
    <w:rsid w:val="00C1308B"/>
    <w:rsid w:val="00D2051D"/>
    <w:rsid w:val="00D772DC"/>
    <w:rsid w:val="00DE47AB"/>
    <w:rsid w:val="00E20888"/>
    <w:rsid w:val="00E3238F"/>
    <w:rsid w:val="00E73301"/>
    <w:rsid w:val="00E805FE"/>
    <w:rsid w:val="00EC57AD"/>
    <w:rsid w:val="00EF235A"/>
    <w:rsid w:val="00F610FC"/>
    <w:rsid w:val="00F77AAD"/>
    <w:rsid w:val="00FA1C91"/>
    <w:rsid w:val="00FA1D8D"/>
    <w:rsid w:val="00FD4F0B"/>
    <w:rsid w:val="07F674E8"/>
    <w:rsid w:val="1F8903D8"/>
    <w:rsid w:val="28F05539"/>
    <w:rsid w:val="2F920204"/>
    <w:rsid w:val="3DC713B7"/>
    <w:rsid w:val="46C4139A"/>
    <w:rsid w:val="4DCE0397"/>
    <w:rsid w:val="52BF774F"/>
    <w:rsid w:val="534F7B0B"/>
    <w:rsid w:val="5B513D29"/>
    <w:rsid w:val="5D1D22F6"/>
    <w:rsid w:val="5DE615AD"/>
    <w:rsid w:val="644B739A"/>
    <w:rsid w:val="6EC5065B"/>
    <w:rsid w:val="72B74A9B"/>
    <w:rsid w:val="738B29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3">
    <w:name w:val="heading 5"/>
    <w:basedOn w:val="1"/>
    <w:next w:val="1"/>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Document Map"/>
    <w:basedOn w:val="1"/>
    <w:link w:val="15"/>
    <w:uiPriority w:val="0"/>
    <w:rPr>
      <w:rFonts w:ascii="宋体" w:eastAsia="宋体"/>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iPriority w:val="0"/>
    <w:rPr>
      <w:color w:val="0000FF"/>
      <w:u w:val="single"/>
    </w:rPr>
  </w:style>
  <w:style w:type="paragraph" w:customStyle="1" w:styleId="12">
    <w:name w:val="List Paragraph"/>
    <w:basedOn w:val="1"/>
    <w:link w:val="16"/>
    <w:qFormat/>
    <w:uiPriority w:val="34"/>
    <w:pPr>
      <w:ind w:firstLine="420" w:firstLineChars="200"/>
    </w:pPr>
    <w:rPr>
      <w:rFonts w:ascii="Calibri" w:hAnsi="Calibri" w:eastAsia="宋体" w:cs="Times New Roman"/>
      <w:szCs w:val="22"/>
    </w:rPr>
  </w:style>
  <w:style w:type="character" w:customStyle="1" w:styleId="13">
    <w:name w:val="页眉 Char"/>
    <w:basedOn w:val="10"/>
    <w:link w:val="6"/>
    <w:uiPriority w:val="0"/>
    <w:rPr>
      <w:rFonts w:ascii="Calibri" w:hAnsi="Calibri" w:eastAsia="宋体"/>
      <w:kern w:val="2"/>
      <w:sz w:val="18"/>
      <w:szCs w:val="18"/>
    </w:rPr>
  </w:style>
  <w:style w:type="character" w:customStyle="1" w:styleId="14">
    <w:name w:val="页脚 Char"/>
    <w:basedOn w:val="10"/>
    <w:link w:val="5"/>
    <w:uiPriority w:val="0"/>
    <w:rPr>
      <w:rFonts w:ascii="Calibri" w:hAnsi="Calibri" w:eastAsia="宋体"/>
      <w:kern w:val="2"/>
      <w:sz w:val="18"/>
      <w:szCs w:val="18"/>
    </w:rPr>
  </w:style>
  <w:style w:type="character" w:customStyle="1" w:styleId="15">
    <w:name w:val="文档结构图 Char"/>
    <w:basedOn w:val="10"/>
    <w:link w:val="4"/>
    <w:qFormat/>
    <w:uiPriority w:val="0"/>
    <w:rPr>
      <w:rFonts w:ascii="宋体" w:hAnsi="Calibri"/>
      <w:kern w:val="2"/>
      <w:sz w:val="18"/>
      <w:szCs w:val="18"/>
    </w:rPr>
  </w:style>
  <w:style w:type="character" w:customStyle="1" w:styleId="16">
    <w:name w:val="列出段落 Char"/>
    <w:link w:val="12"/>
    <w:qFormat/>
    <w:uiPriority w:val="34"/>
    <w:rPr>
      <w:rFonts w:ascii="Calibri" w:hAnsi="Calibri"/>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3087</Words>
  <Characters>3329</Characters>
  <Lines>23</Lines>
  <Paragraphs>6</Paragraphs>
  <TotalTime>3</TotalTime>
  <ScaleCrop>false</ScaleCrop>
  <LinksUpToDate>false</LinksUpToDate>
  <CharactersWithSpaces>3562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2024-04-19T08:39:00Z</dcterms:created>
  <dc:creator>Lenovo</dc:creator>
  <cp:lastModifiedBy>l.n.z</cp:lastModifiedBy>
  <cp:lastPrinted>2024-05-29T00:01:00Z</cp:lastPrinted>
  <dcterms:modified xsi:type="dcterms:W3CDTF">2024-05-30T07:55:12Z</dcterms:modified>
  <dc:title>福州市连江生态环境局关于监测站管理体系文件改版编制与扩项评审辅助性工作项目询价采购公告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80C33DB0B3B142F8B6C24DBBD00E0390_13</vt:lpwstr>
  </property>
</Properties>
</file>