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59B33">
      <w:pPr>
        <w:jc w:val="left"/>
        <w:rPr>
          <w:rFonts w:hint="eastAsia" w:asciiTheme="minorEastAsia" w:hAnsiTheme="minorEastAsia" w:eastAsiaTheme="minorEastAsia" w:cstheme="minorEastAsia"/>
          <w:b/>
          <w:bCs/>
          <w:snapToGrid w:val="0"/>
          <w:color w:val="000000"/>
          <w:kern w:val="0"/>
          <w:sz w:val="44"/>
          <w:szCs w:val="44"/>
          <w:lang w:val="en-US" w:eastAsia="zh-CN"/>
        </w:rPr>
      </w:pPr>
      <w:bookmarkStart w:id="0" w:name="_GoBack"/>
      <w:bookmarkEnd w:id="0"/>
      <w:r>
        <w:rPr>
          <w:rFonts w:hint="eastAsia" w:ascii="黑体" w:hAnsi="黑体" w:eastAsia="黑体" w:cs="黑体"/>
          <w:snapToGrid w:val="0"/>
          <w:color w:val="000000"/>
          <w:kern w:val="0"/>
          <w:sz w:val="32"/>
          <w:szCs w:val="24"/>
          <w:lang w:val="en-US" w:eastAsia="zh-CN"/>
        </w:rPr>
        <w:t>附件1</w:t>
      </w:r>
    </w:p>
    <w:p w14:paraId="7F443F9C">
      <w:pPr>
        <w:jc w:val="left"/>
        <w:rPr>
          <w:rFonts w:hint="eastAsia" w:ascii="黑体" w:hAnsi="黑体" w:eastAsia="黑体" w:cs="黑体"/>
          <w:snapToGrid w:val="0"/>
          <w:color w:val="000000"/>
          <w:kern w:val="0"/>
          <w:sz w:val="32"/>
          <w:szCs w:val="24"/>
          <w:lang w:val="en-US" w:eastAsia="zh-CN"/>
        </w:rPr>
      </w:pPr>
    </w:p>
    <w:p w14:paraId="3A74AB08">
      <w:pPr>
        <w:spacing w:line="240" w:lineRule="auto"/>
        <w:ind w:firstLine="3614" w:firstLineChars="1000"/>
        <w:jc w:val="both"/>
        <w:rPr>
          <w:rFonts w:hint="eastAsia" w:asciiTheme="minorEastAsia" w:hAnsiTheme="minorEastAsia" w:eastAsiaTheme="minorEastAsia" w:cstheme="minorEastAsia"/>
          <w:b/>
          <w:bCs/>
          <w:sz w:val="36"/>
          <w:szCs w:val="36"/>
          <w:lang w:eastAsia="zh-CN"/>
        </w:rPr>
      </w:pPr>
      <w:r>
        <w:rPr>
          <w:rFonts w:hint="eastAsia" w:ascii="宋体" w:hAnsi="宋体" w:eastAsia="宋体" w:cs="宋体"/>
          <w:b/>
          <w:bCs/>
          <w:sz w:val="36"/>
          <w:szCs w:val="36"/>
          <w:lang w:val="en-US" w:eastAsia="zh-CN"/>
        </w:rPr>
        <w:t>连江县美丽</w:t>
      </w:r>
      <w:r>
        <w:rPr>
          <w:rFonts w:hint="eastAsia" w:ascii="宋体" w:hAnsi="宋体" w:eastAsia="宋体" w:cs="宋体"/>
          <w:b/>
          <w:bCs/>
          <w:sz w:val="36"/>
          <w:szCs w:val="36"/>
          <w:lang w:eastAsia="zh-CN"/>
        </w:rPr>
        <w:t>海湾</w:t>
      </w:r>
      <w:r>
        <w:rPr>
          <w:rFonts w:hint="eastAsia" w:ascii="宋体" w:hAnsi="宋体" w:eastAsia="宋体" w:cs="宋体"/>
          <w:b/>
          <w:bCs/>
          <w:i w:val="0"/>
          <w:iCs w:val="0"/>
          <w:caps w:val="0"/>
          <w:color w:val="000000"/>
          <w:spacing w:val="0"/>
          <w:sz w:val="36"/>
          <w:szCs w:val="36"/>
          <w:shd w:val="clear" w:fill="FFFFFF"/>
          <w:lang w:val="en-US" w:eastAsia="zh-CN"/>
        </w:rPr>
        <w:t>优秀案例项目申报表</w:t>
      </w:r>
    </w:p>
    <w:tbl>
      <w:tblPr>
        <w:tblStyle w:val="11"/>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628"/>
        <w:gridCol w:w="2638"/>
        <w:gridCol w:w="1070"/>
        <w:gridCol w:w="1396"/>
        <w:gridCol w:w="2590"/>
        <w:gridCol w:w="2803"/>
      </w:tblGrid>
      <w:tr w14:paraId="5B17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blHeader/>
          <w:jc w:val="center"/>
        </w:trPr>
        <w:tc>
          <w:tcPr>
            <w:tcW w:w="860" w:type="dxa"/>
            <w:vAlign w:val="center"/>
          </w:tcPr>
          <w:p w14:paraId="205BEC5B">
            <w:pPr>
              <w:spacing w:line="30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628" w:type="dxa"/>
            <w:vAlign w:val="center"/>
          </w:tcPr>
          <w:p w14:paraId="3CDA8A70">
            <w:pPr>
              <w:spacing w:line="30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rPr>
              <w:t>美丽海湾建设</w:t>
            </w:r>
            <w:r>
              <w:rPr>
                <w:rFonts w:hint="eastAsia" w:asciiTheme="minorEastAsia" w:hAnsiTheme="minorEastAsia" w:eastAsiaTheme="minorEastAsia" w:cstheme="minorEastAsia"/>
                <w:b/>
                <w:bCs/>
                <w:color w:val="000000"/>
                <w:sz w:val="21"/>
                <w:szCs w:val="21"/>
              </w:rPr>
              <w:t>单元</w:t>
            </w:r>
          </w:p>
        </w:tc>
        <w:tc>
          <w:tcPr>
            <w:tcW w:w="2638" w:type="dxa"/>
            <w:vAlign w:val="center"/>
          </w:tcPr>
          <w:p w14:paraId="67215636">
            <w:pPr>
              <w:spacing w:line="300" w:lineRule="exact"/>
              <w:jc w:val="center"/>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b/>
                <w:bCs/>
                <w:color w:val="000000"/>
                <w:sz w:val="21"/>
                <w:szCs w:val="21"/>
                <w:lang w:eastAsia="zh-CN"/>
              </w:rPr>
              <w:t>所在乡镇</w:t>
            </w:r>
          </w:p>
        </w:tc>
        <w:tc>
          <w:tcPr>
            <w:tcW w:w="1070" w:type="dxa"/>
            <w:vAlign w:val="center"/>
          </w:tcPr>
          <w:p w14:paraId="31B232C4">
            <w:pPr>
              <w:keepNext w:val="0"/>
              <w:keepLines w:val="0"/>
              <w:widowControl/>
              <w:suppressLineNumbers w:val="0"/>
              <w:spacing w:line="300" w:lineRule="exact"/>
              <w:jc w:val="center"/>
              <w:textAlignment w:val="auto"/>
              <w:rPr>
                <w:rStyle w:val="15"/>
                <w:rFonts w:hint="eastAsia" w:asciiTheme="minorEastAsia" w:hAnsiTheme="minorEastAsia" w:eastAsiaTheme="minorEastAsia" w:cstheme="minorEastAsia"/>
                <w:b/>
                <w:bCs/>
                <w:sz w:val="21"/>
                <w:szCs w:val="21"/>
                <w:lang w:val="en-US" w:eastAsia="zh-CN" w:bidi="ar"/>
              </w:rPr>
            </w:pPr>
            <w:r>
              <w:rPr>
                <w:rStyle w:val="15"/>
                <w:rFonts w:hint="eastAsia" w:asciiTheme="minorEastAsia" w:hAnsiTheme="minorEastAsia" w:eastAsiaTheme="minorEastAsia" w:cstheme="minorEastAsia"/>
                <w:b/>
                <w:bCs/>
                <w:sz w:val="21"/>
                <w:szCs w:val="21"/>
                <w:lang w:val="en-US" w:eastAsia="zh-CN" w:bidi="ar"/>
              </w:rPr>
              <w:t>面积</w:t>
            </w:r>
          </w:p>
          <w:p w14:paraId="14E709DB">
            <w:pPr>
              <w:keepNext w:val="0"/>
              <w:keepLines w:val="0"/>
              <w:widowControl/>
              <w:suppressLineNumbers w:val="0"/>
              <w:spacing w:line="300" w:lineRule="exact"/>
              <w:jc w:val="center"/>
              <w:textAlignment w:val="auto"/>
              <w:rPr>
                <w:rFonts w:hint="eastAsia" w:asciiTheme="minorEastAsia" w:hAnsiTheme="minorEastAsia" w:eastAsiaTheme="minorEastAsia" w:cstheme="minorEastAsia"/>
                <w:b/>
                <w:bCs/>
                <w:color w:val="000000"/>
                <w:sz w:val="21"/>
                <w:szCs w:val="21"/>
              </w:rPr>
            </w:pPr>
            <w:r>
              <w:rPr>
                <w:rStyle w:val="15"/>
                <w:rFonts w:hint="eastAsia" w:asciiTheme="minorEastAsia" w:hAnsiTheme="minorEastAsia" w:eastAsiaTheme="minorEastAsia" w:cstheme="minorEastAsia"/>
                <w:b/>
                <w:bCs/>
                <w:sz w:val="21"/>
                <w:szCs w:val="21"/>
                <w:lang w:val="en-US" w:eastAsia="zh-CN" w:bidi="ar"/>
              </w:rPr>
              <w:t>（</w:t>
            </w:r>
            <w:r>
              <w:rPr>
                <w:rStyle w:val="16"/>
                <w:rFonts w:hint="eastAsia" w:asciiTheme="minorEastAsia" w:hAnsiTheme="minorEastAsia" w:eastAsiaTheme="minorEastAsia" w:cstheme="minorEastAsia"/>
                <w:b/>
                <w:bCs/>
                <w:sz w:val="21"/>
                <w:szCs w:val="21"/>
                <w:lang w:val="en-US" w:eastAsia="zh-CN" w:bidi="ar"/>
              </w:rPr>
              <w:t>km</w:t>
            </w:r>
            <w:r>
              <w:rPr>
                <w:rFonts w:hint="eastAsia" w:asciiTheme="minorEastAsia" w:hAnsiTheme="minorEastAsia" w:eastAsiaTheme="minorEastAsia" w:cstheme="minorEastAsia"/>
                <w:b/>
                <w:bCs/>
                <w:color w:val="000000"/>
                <w:sz w:val="21"/>
                <w:szCs w:val="21"/>
                <w:lang w:val="en-US" w:eastAsia="zh-CN" w:bidi="ar"/>
              </w:rPr>
              <w:t>²</w:t>
            </w:r>
            <w:r>
              <w:rPr>
                <w:rStyle w:val="15"/>
                <w:rFonts w:hint="eastAsia" w:asciiTheme="minorEastAsia" w:hAnsiTheme="minorEastAsia" w:eastAsiaTheme="minorEastAsia" w:cstheme="minorEastAsia"/>
                <w:b/>
                <w:bCs/>
                <w:sz w:val="21"/>
                <w:szCs w:val="21"/>
                <w:lang w:val="en-US" w:eastAsia="zh-CN" w:bidi="ar"/>
              </w:rPr>
              <w:t>）</w:t>
            </w:r>
          </w:p>
        </w:tc>
        <w:tc>
          <w:tcPr>
            <w:tcW w:w="1396" w:type="dxa"/>
            <w:vAlign w:val="center"/>
          </w:tcPr>
          <w:p w14:paraId="6234E417">
            <w:pPr>
              <w:spacing w:line="320" w:lineRule="exact"/>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color w:val="000000"/>
                <w:sz w:val="21"/>
                <w:szCs w:val="21"/>
              </w:rPr>
              <w:t>推荐类别</w:t>
            </w:r>
          </w:p>
        </w:tc>
        <w:tc>
          <w:tcPr>
            <w:tcW w:w="2590" w:type="dxa"/>
            <w:vAlign w:val="center"/>
          </w:tcPr>
          <w:p w14:paraId="7F7D2CE8">
            <w:pPr>
              <w:spacing w:line="32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lang w:eastAsia="zh-CN"/>
              </w:rPr>
              <w:t>美丽海湾建设岸段</w:t>
            </w:r>
          </w:p>
        </w:tc>
        <w:tc>
          <w:tcPr>
            <w:tcW w:w="2803" w:type="dxa"/>
            <w:vAlign w:val="center"/>
          </w:tcPr>
          <w:p w14:paraId="0C9C712A">
            <w:pPr>
              <w:spacing w:line="300" w:lineRule="exact"/>
              <w:jc w:val="center"/>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美丽海湾级别</w:t>
            </w:r>
          </w:p>
        </w:tc>
      </w:tr>
      <w:tr w14:paraId="65E8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860" w:type="dxa"/>
            <w:vAlign w:val="center"/>
          </w:tcPr>
          <w:p w14:paraId="50036FAD">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w:t>
            </w:r>
          </w:p>
        </w:tc>
        <w:tc>
          <w:tcPr>
            <w:tcW w:w="2628" w:type="dxa"/>
            <w:vAlign w:val="center"/>
          </w:tcPr>
          <w:p w14:paraId="092EAEF6">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罗源湾</w:t>
            </w:r>
            <w:r>
              <w:rPr>
                <w:rFonts w:hint="eastAsia" w:asciiTheme="minorEastAsia" w:hAnsiTheme="minorEastAsia" w:eastAsiaTheme="minorEastAsia" w:cstheme="minorEastAsia"/>
                <w:color w:val="000000"/>
                <w:sz w:val="21"/>
                <w:szCs w:val="21"/>
                <w:lang w:eastAsia="zh-CN"/>
              </w:rPr>
              <w:t>（连江海域）</w:t>
            </w:r>
            <w:r>
              <w:rPr>
                <w:rFonts w:hint="eastAsia" w:asciiTheme="minorEastAsia" w:hAnsiTheme="minorEastAsia" w:eastAsiaTheme="minorEastAsia" w:cstheme="minorEastAsia"/>
                <w:color w:val="000000"/>
                <w:sz w:val="21"/>
                <w:szCs w:val="21"/>
              </w:rPr>
              <w:t>湾区</w:t>
            </w:r>
          </w:p>
        </w:tc>
        <w:tc>
          <w:tcPr>
            <w:tcW w:w="2638" w:type="dxa"/>
            <w:vAlign w:val="center"/>
          </w:tcPr>
          <w:p w14:paraId="779500B8">
            <w:pPr>
              <w:spacing w:line="300" w:lineRule="exact"/>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马鼻镇、官坂镇、透堡镇、下宫镇</w:t>
            </w:r>
          </w:p>
        </w:tc>
        <w:tc>
          <w:tcPr>
            <w:tcW w:w="1070" w:type="dxa"/>
            <w:vAlign w:val="center"/>
          </w:tcPr>
          <w:p w14:paraId="03DF12D0">
            <w:pPr>
              <w:keepNext w:val="0"/>
              <w:keepLines w:val="0"/>
              <w:widowControl/>
              <w:suppressLineNumbers w:val="0"/>
              <w:spacing w:line="30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91.6</w:t>
            </w:r>
          </w:p>
        </w:tc>
        <w:tc>
          <w:tcPr>
            <w:tcW w:w="1396" w:type="dxa"/>
            <w:vAlign w:val="center"/>
          </w:tcPr>
          <w:p w14:paraId="65455550">
            <w:pPr>
              <w:spacing w:line="28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绿色发展型</w:t>
            </w:r>
          </w:p>
        </w:tc>
        <w:tc>
          <w:tcPr>
            <w:tcW w:w="2590" w:type="dxa"/>
            <w:vAlign w:val="center"/>
          </w:tcPr>
          <w:p w14:paraId="29A86DE0">
            <w:pPr>
              <w:spacing w:line="28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罗源湾</w:t>
            </w:r>
            <w:r>
              <w:rPr>
                <w:rFonts w:hint="eastAsia" w:asciiTheme="minorEastAsia" w:hAnsiTheme="minorEastAsia" w:eastAsiaTheme="minorEastAsia" w:cstheme="minorEastAsia"/>
                <w:color w:val="000000"/>
                <w:sz w:val="21"/>
                <w:szCs w:val="21"/>
                <w:lang w:eastAsia="zh-CN"/>
              </w:rPr>
              <w:t>连江岸段</w:t>
            </w:r>
          </w:p>
        </w:tc>
        <w:tc>
          <w:tcPr>
            <w:tcW w:w="2803" w:type="dxa"/>
            <w:vAlign w:val="center"/>
          </w:tcPr>
          <w:p w14:paraId="477D42BA">
            <w:pPr>
              <w:widowControl/>
              <w:adjustRightInd/>
              <w:snapToGrid/>
              <w:spacing w:line="3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“十五五”期间建成省级</w:t>
            </w:r>
          </w:p>
        </w:tc>
      </w:tr>
      <w:tr w14:paraId="6702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860" w:type="dxa"/>
            <w:vAlign w:val="center"/>
          </w:tcPr>
          <w:p w14:paraId="2830F15B">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2</w:t>
            </w:r>
          </w:p>
        </w:tc>
        <w:tc>
          <w:tcPr>
            <w:tcW w:w="2628" w:type="dxa"/>
            <w:vAlign w:val="center"/>
          </w:tcPr>
          <w:p w14:paraId="21625F28">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闽江口北部海域湾区</w:t>
            </w:r>
          </w:p>
        </w:tc>
        <w:tc>
          <w:tcPr>
            <w:tcW w:w="2638" w:type="dxa"/>
            <w:vAlign w:val="center"/>
          </w:tcPr>
          <w:p w14:paraId="7D045869">
            <w:pPr>
              <w:spacing w:line="300" w:lineRule="exact"/>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浦口镇、东岱镇、晓澳镇</w:t>
            </w:r>
            <w:r>
              <w:rPr>
                <w:rFonts w:hint="eastAsia" w:asciiTheme="minorEastAsia" w:hAnsiTheme="minorEastAsia" w:cstheme="minorEastAsia"/>
                <w:color w:val="000000"/>
                <w:sz w:val="21"/>
                <w:szCs w:val="21"/>
                <w:lang w:eastAsia="zh-CN"/>
              </w:rPr>
              <w:t>、筱程镇</w:t>
            </w:r>
          </w:p>
        </w:tc>
        <w:tc>
          <w:tcPr>
            <w:tcW w:w="1070" w:type="dxa"/>
            <w:vAlign w:val="center"/>
          </w:tcPr>
          <w:p w14:paraId="7098D76F">
            <w:pPr>
              <w:keepNext w:val="0"/>
              <w:keepLines w:val="0"/>
              <w:widowControl/>
              <w:suppressLineNumbers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2"/>
                <w:sz w:val="21"/>
                <w:szCs w:val="21"/>
                <w:u w:val="none"/>
                <w:lang w:val="en-US" w:eastAsia="zh-CN" w:bidi="ar"/>
              </w:rPr>
              <w:t>252.3</w:t>
            </w:r>
          </w:p>
        </w:tc>
        <w:tc>
          <w:tcPr>
            <w:tcW w:w="1396" w:type="dxa"/>
            <w:vAlign w:val="center"/>
          </w:tcPr>
          <w:p w14:paraId="205F8BAC">
            <w:pPr>
              <w:spacing w:line="28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公众</w:t>
            </w:r>
            <w:r>
              <w:rPr>
                <w:rFonts w:hint="eastAsia" w:asciiTheme="minorEastAsia" w:hAnsiTheme="minorEastAsia" w:eastAsiaTheme="minorEastAsia" w:cstheme="minorEastAsia"/>
                <w:color w:val="000000"/>
                <w:sz w:val="21"/>
                <w:szCs w:val="21"/>
              </w:rPr>
              <w:t>亲海型</w:t>
            </w:r>
          </w:p>
        </w:tc>
        <w:tc>
          <w:tcPr>
            <w:tcW w:w="2590" w:type="dxa"/>
            <w:vAlign w:val="center"/>
          </w:tcPr>
          <w:p w14:paraId="7D73170A">
            <w:pPr>
              <w:spacing w:line="280" w:lineRule="exact"/>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闽江口北部海域</w:t>
            </w:r>
            <w:r>
              <w:rPr>
                <w:rFonts w:hint="eastAsia" w:asciiTheme="minorEastAsia" w:hAnsiTheme="minorEastAsia" w:eastAsiaTheme="minorEastAsia" w:cstheme="minorEastAsia"/>
                <w:color w:val="000000"/>
                <w:sz w:val="21"/>
                <w:szCs w:val="21"/>
                <w:lang w:eastAsia="zh-CN"/>
              </w:rPr>
              <w:t>岸段</w:t>
            </w:r>
          </w:p>
        </w:tc>
        <w:tc>
          <w:tcPr>
            <w:tcW w:w="2803" w:type="dxa"/>
            <w:vAlign w:val="center"/>
          </w:tcPr>
          <w:p w14:paraId="2958A17D">
            <w:pPr>
              <w:widowControl/>
              <w:adjustRightInd/>
              <w:snapToGrid/>
              <w:spacing w:line="3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“十五五”期间建成省级</w:t>
            </w:r>
          </w:p>
        </w:tc>
      </w:tr>
      <w:tr w14:paraId="0647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860" w:type="dxa"/>
            <w:vAlign w:val="center"/>
          </w:tcPr>
          <w:p w14:paraId="2713851E">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3</w:t>
            </w:r>
          </w:p>
        </w:tc>
        <w:tc>
          <w:tcPr>
            <w:tcW w:w="2628" w:type="dxa"/>
            <w:vAlign w:val="center"/>
          </w:tcPr>
          <w:p w14:paraId="6985C256">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闽江口海域湾区</w:t>
            </w:r>
          </w:p>
        </w:tc>
        <w:tc>
          <w:tcPr>
            <w:tcW w:w="2638" w:type="dxa"/>
            <w:vAlign w:val="center"/>
          </w:tcPr>
          <w:p w14:paraId="252DEBA0">
            <w:pPr>
              <w:spacing w:line="300" w:lineRule="exact"/>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琯头镇、晓澳镇</w:t>
            </w:r>
          </w:p>
        </w:tc>
        <w:tc>
          <w:tcPr>
            <w:tcW w:w="1070" w:type="dxa"/>
            <w:vAlign w:val="center"/>
          </w:tcPr>
          <w:p w14:paraId="25B16B1E">
            <w:pPr>
              <w:keepNext w:val="0"/>
              <w:keepLines w:val="0"/>
              <w:widowControl/>
              <w:suppressLineNumbers w:val="0"/>
              <w:spacing w:line="300" w:lineRule="exact"/>
              <w:jc w:val="center"/>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2"/>
                <w:sz w:val="21"/>
                <w:szCs w:val="21"/>
                <w:u w:val="none"/>
                <w:lang w:val="en-US" w:eastAsia="zh-CN" w:bidi="ar"/>
              </w:rPr>
              <w:t>22.97</w:t>
            </w:r>
          </w:p>
        </w:tc>
        <w:tc>
          <w:tcPr>
            <w:tcW w:w="1396" w:type="dxa"/>
            <w:vAlign w:val="center"/>
          </w:tcPr>
          <w:p w14:paraId="46439BD9">
            <w:pPr>
              <w:spacing w:line="28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生态保育型</w:t>
            </w:r>
          </w:p>
        </w:tc>
        <w:tc>
          <w:tcPr>
            <w:tcW w:w="2590" w:type="dxa"/>
            <w:vAlign w:val="center"/>
          </w:tcPr>
          <w:p w14:paraId="56CD282F">
            <w:pPr>
              <w:spacing w:line="280" w:lineRule="exact"/>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闽江口海域</w:t>
            </w:r>
            <w:r>
              <w:rPr>
                <w:rFonts w:hint="eastAsia" w:asciiTheme="minorEastAsia" w:hAnsiTheme="minorEastAsia" w:eastAsiaTheme="minorEastAsia" w:cstheme="minorEastAsia"/>
                <w:color w:val="000000"/>
                <w:sz w:val="21"/>
                <w:szCs w:val="21"/>
                <w:lang w:eastAsia="zh-CN"/>
              </w:rPr>
              <w:t>连江岸段</w:t>
            </w:r>
          </w:p>
        </w:tc>
        <w:tc>
          <w:tcPr>
            <w:tcW w:w="2803" w:type="dxa"/>
            <w:vAlign w:val="center"/>
          </w:tcPr>
          <w:p w14:paraId="2A68DEDB">
            <w:pPr>
              <w:widowControl/>
              <w:adjustRightInd/>
              <w:snapToGrid/>
              <w:spacing w:line="30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“十五五”期间建成省级</w:t>
            </w:r>
          </w:p>
        </w:tc>
      </w:tr>
    </w:tbl>
    <w:p w14:paraId="0C281289">
      <w:pPr>
        <w:pStyle w:val="4"/>
        <w:keepNext w:val="0"/>
        <w:keepLines w:val="0"/>
        <w:overflowPunct w:val="0"/>
        <w:adjustRightInd w:val="0"/>
        <w:snapToGrid w:val="0"/>
        <w:spacing w:before="0" w:after="0" w:line="300" w:lineRule="auto"/>
        <w:jc w:val="both"/>
        <w:textAlignment w:val="center"/>
        <w:rPr>
          <w:rFonts w:hint="eastAsia" w:ascii="黑体" w:hAnsi="黑体" w:eastAsia="黑体" w:cs="黑体"/>
          <w:b w:val="0"/>
          <w:bCs w:val="0"/>
          <w:sz w:val="32"/>
          <w:szCs w:val="32"/>
          <w:lang w:eastAsia="zh-CN"/>
        </w:rPr>
        <w:sectPr>
          <w:pgSz w:w="16838" w:h="11906" w:orient="landscape"/>
          <w:pgMar w:top="1587" w:right="1134" w:bottom="1417" w:left="1134" w:header="851" w:footer="992" w:gutter="0"/>
          <w:pgNumType w:fmt="numberInDash"/>
          <w:cols w:space="0" w:num="1"/>
          <w:rtlGutter w:val="0"/>
          <w:docGrid w:type="lines" w:linePitch="445" w:charSpace="0"/>
        </w:sectPr>
      </w:pPr>
    </w:p>
    <w:p w14:paraId="4DFD112C">
      <w:pPr>
        <w:jc w:val="left"/>
        <w:rPr>
          <w:rFonts w:hint="default" w:ascii="宋体" w:hAnsi="宋体" w:eastAsia="宋体" w:cs="宋体"/>
          <w:b/>
          <w:bCs/>
          <w:snapToGrid w:val="0"/>
          <w:color w:val="000000"/>
          <w:kern w:val="0"/>
          <w:sz w:val="44"/>
          <w:szCs w:val="44"/>
          <w:lang w:val="en-US" w:eastAsia="zh-CN"/>
        </w:rPr>
      </w:pPr>
      <w:r>
        <w:rPr>
          <w:rFonts w:hint="eastAsia" w:ascii="黑体" w:hAnsi="黑体" w:eastAsia="黑体" w:cs="黑体"/>
          <w:snapToGrid w:val="0"/>
          <w:color w:val="000000"/>
          <w:kern w:val="0"/>
          <w:sz w:val="32"/>
          <w:szCs w:val="24"/>
          <w:lang w:val="en-US" w:eastAsia="zh-CN"/>
        </w:rPr>
        <w:t>附件2</w:t>
      </w:r>
    </w:p>
    <w:p w14:paraId="1966CFB8">
      <w:pPr>
        <w:jc w:val="center"/>
        <w:rPr>
          <w:rFonts w:hint="eastAsia" w:ascii="宋体" w:hAnsi="宋体" w:eastAsia="宋体" w:cs="宋体"/>
          <w:b/>
          <w:bCs/>
          <w:snapToGrid w:val="0"/>
          <w:color w:val="000000"/>
          <w:kern w:val="0"/>
          <w:sz w:val="44"/>
          <w:szCs w:val="44"/>
          <w:lang w:val="en-US" w:eastAsia="zh-CN"/>
        </w:rPr>
      </w:pPr>
      <w:r>
        <w:rPr>
          <w:rFonts w:hint="eastAsia" w:ascii="宋体" w:hAnsi="宋体" w:eastAsia="宋体" w:cs="宋体"/>
          <w:b/>
          <w:bCs/>
          <w:snapToGrid w:val="0"/>
          <w:color w:val="000000"/>
          <w:kern w:val="0"/>
          <w:sz w:val="44"/>
          <w:szCs w:val="44"/>
          <w:lang w:val="en-US" w:eastAsia="zh-CN"/>
        </w:rPr>
        <w:t>“美丽海湾”评估指标表</w:t>
      </w:r>
    </w:p>
    <w:tbl>
      <w:tblPr>
        <w:tblStyle w:val="10"/>
        <w:tblW w:w="484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12"/>
        <w:gridCol w:w="915"/>
        <w:gridCol w:w="745"/>
        <w:gridCol w:w="1206"/>
        <w:gridCol w:w="4424"/>
        <w:gridCol w:w="2542"/>
        <w:gridCol w:w="937"/>
        <w:gridCol w:w="1124"/>
        <w:gridCol w:w="1130"/>
      </w:tblGrid>
      <w:tr w14:paraId="46C5B0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3" w:hRule="atLeast"/>
          <w:tblHeader/>
        </w:trPr>
        <w:tc>
          <w:tcPr>
            <w:tcW w:w="259" w:type="pct"/>
            <w:noWrap/>
            <w:vAlign w:val="center"/>
          </w:tcPr>
          <w:p w14:paraId="4BA2BDA0">
            <w:pPr>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序号</w:t>
            </w:r>
          </w:p>
        </w:tc>
        <w:tc>
          <w:tcPr>
            <w:tcW w:w="333" w:type="pct"/>
            <w:noWrap/>
            <w:vAlign w:val="center"/>
          </w:tcPr>
          <w:p w14:paraId="38B5C69C">
            <w:pPr>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一级</w:t>
            </w:r>
          </w:p>
          <w:p w14:paraId="0B9BA2F8">
            <w:pPr>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指标</w:t>
            </w:r>
          </w:p>
        </w:tc>
        <w:tc>
          <w:tcPr>
            <w:tcW w:w="271" w:type="pct"/>
            <w:noWrap/>
            <w:vAlign w:val="center"/>
          </w:tcPr>
          <w:p w14:paraId="622FAD40">
            <w:pPr>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二级</w:t>
            </w:r>
          </w:p>
          <w:p w14:paraId="59164920">
            <w:pPr>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指标</w:t>
            </w:r>
          </w:p>
        </w:tc>
        <w:tc>
          <w:tcPr>
            <w:tcW w:w="439" w:type="pct"/>
            <w:noWrap/>
            <w:vAlign w:val="center"/>
          </w:tcPr>
          <w:p w14:paraId="47CF5D4D">
            <w:pPr>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三级指标</w:t>
            </w:r>
          </w:p>
        </w:tc>
        <w:tc>
          <w:tcPr>
            <w:tcW w:w="1610" w:type="pct"/>
            <w:noWrap/>
            <w:vAlign w:val="center"/>
          </w:tcPr>
          <w:p w14:paraId="408710D4">
            <w:pPr>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指标说明</w:t>
            </w:r>
          </w:p>
        </w:tc>
        <w:tc>
          <w:tcPr>
            <w:tcW w:w="925" w:type="pct"/>
            <w:noWrap w:val="0"/>
            <w:vAlign w:val="center"/>
          </w:tcPr>
          <w:p w14:paraId="0E855B93">
            <w:pPr>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目标要求</w:t>
            </w:r>
          </w:p>
        </w:tc>
        <w:tc>
          <w:tcPr>
            <w:tcW w:w="341" w:type="pct"/>
            <w:noWrap w:val="0"/>
            <w:vAlign w:val="center"/>
          </w:tcPr>
          <w:p w14:paraId="1E83BC04">
            <w:pPr>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产业主导型</w:t>
            </w:r>
          </w:p>
        </w:tc>
        <w:tc>
          <w:tcPr>
            <w:tcW w:w="409" w:type="pct"/>
            <w:noWrap w:val="0"/>
            <w:vAlign w:val="center"/>
          </w:tcPr>
          <w:p w14:paraId="0BBD85AB">
            <w:pPr>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生态保育型</w:t>
            </w:r>
          </w:p>
        </w:tc>
        <w:tc>
          <w:tcPr>
            <w:tcW w:w="411" w:type="pct"/>
            <w:noWrap w:val="0"/>
            <w:vAlign w:val="center"/>
          </w:tcPr>
          <w:p w14:paraId="496F4E8C">
            <w:pPr>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亲海休闲型</w:t>
            </w:r>
          </w:p>
        </w:tc>
      </w:tr>
      <w:tr w14:paraId="4E325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24" w:hRule="atLeast"/>
        </w:trPr>
        <w:tc>
          <w:tcPr>
            <w:tcW w:w="259" w:type="pct"/>
            <w:tcBorders>
              <w:bottom w:val="single" w:color="auto" w:sz="8" w:space="0"/>
            </w:tcBorders>
            <w:noWrap w:val="0"/>
            <w:vAlign w:val="center"/>
          </w:tcPr>
          <w:p w14:paraId="15ADA0FE">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333" w:type="pct"/>
            <w:vMerge w:val="restart"/>
            <w:tcBorders>
              <w:bottom w:val="single" w:color="auto" w:sz="8" w:space="0"/>
            </w:tcBorders>
            <w:noWrap w:val="0"/>
            <w:vAlign w:val="center"/>
          </w:tcPr>
          <w:p w14:paraId="3F6374CC">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水清</w:t>
            </w:r>
          </w:p>
          <w:p w14:paraId="68F928AE">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滩净</w:t>
            </w:r>
          </w:p>
        </w:tc>
        <w:tc>
          <w:tcPr>
            <w:tcW w:w="271" w:type="pct"/>
            <w:vMerge w:val="restart"/>
            <w:tcBorders>
              <w:bottom w:val="single" w:color="auto" w:sz="8" w:space="0"/>
            </w:tcBorders>
            <w:noWrap w:val="0"/>
            <w:vAlign w:val="center"/>
          </w:tcPr>
          <w:p w14:paraId="6E9F3A87">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海水环境</w:t>
            </w:r>
          </w:p>
          <w:p w14:paraId="497CA6E1">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质量状况</w:t>
            </w:r>
          </w:p>
        </w:tc>
        <w:tc>
          <w:tcPr>
            <w:tcW w:w="439" w:type="pct"/>
            <w:tcBorders>
              <w:bottom w:val="single" w:color="auto" w:sz="8" w:space="0"/>
            </w:tcBorders>
            <w:noWrap w:val="0"/>
            <w:vAlign w:val="center"/>
          </w:tcPr>
          <w:p w14:paraId="0FC6615F">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海湾水质</w:t>
            </w:r>
            <w:r>
              <w:rPr>
                <w:rFonts w:hint="eastAsia" w:ascii="仿宋_GB2312" w:hAnsi="仿宋_GB2312" w:eastAsia="仿宋_GB2312" w:cs="仿宋_GB2312"/>
                <w:color w:val="000000"/>
                <w:kern w:val="0"/>
                <w:sz w:val="21"/>
                <w:szCs w:val="21"/>
                <w:lang w:eastAsia="zh-CN"/>
              </w:rPr>
              <w:t>优良情况</w:t>
            </w:r>
          </w:p>
        </w:tc>
        <w:tc>
          <w:tcPr>
            <w:tcW w:w="1610" w:type="pct"/>
            <w:tcBorders>
              <w:bottom w:val="single" w:color="auto" w:sz="8" w:space="0"/>
            </w:tcBorders>
            <w:noWrap w:val="0"/>
            <w:vAlign w:val="center"/>
          </w:tcPr>
          <w:p w14:paraId="75F73932">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指标解释：指海水水质优良（一、二类海水水质）</w:t>
            </w:r>
            <w:r>
              <w:rPr>
                <w:rFonts w:hint="eastAsia" w:ascii="仿宋_GB2312" w:hAnsi="仿宋_GB2312" w:eastAsia="仿宋_GB2312" w:cs="仿宋_GB2312"/>
                <w:color w:val="000000"/>
                <w:kern w:val="0"/>
                <w:sz w:val="21"/>
                <w:szCs w:val="21"/>
                <w:lang w:eastAsia="zh-CN"/>
              </w:rPr>
              <w:t>比例及主要指标变化情况</w:t>
            </w:r>
            <w:r>
              <w:rPr>
                <w:rFonts w:hint="eastAsia" w:ascii="仿宋_GB2312" w:hAnsi="仿宋_GB2312" w:eastAsia="仿宋_GB2312" w:cs="仿宋_GB2312"/>
                <w:color w:val="000000"/>
                <w:kern w:val="0"/>
                <w:sz w:val="21"/>
                <w:szCs w:val="21"/>
              </w:rPr>
              <w:t>。</w:t>
            </w:r>
          </w:p>
          <w:p w14:paraId="711BCE4A">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计算方法：</w:t>
            </w: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海湾水质优良比例（%）=</w:t>
            </w:r>
            <w:r>
              <w:rPr>
                <w:rFonts w:hint="eastAsia" w:ascii="仿宋_GB2312" w:hAnsi="仿宋_GB2312" w:eastAsia="仿宋_GB2312" w:cs="仿宋_GB2312"/>
                <w:color w:val="000000"/>
                <w:kern w:val="0"/>
                <w:sz w:val="21"/>
                <w:szCs w:val="21"/>
                <w:lang w:eastAsia="zh-CN"/>
              </w:rPr>
              <w:t>海湾内</w:t>
            </w:r>
            <w:r>
              <w:rPr>
                <w:rFonts w:hint="eastAsia" w:ascii="仿宋_GB2312" w:hAnsi="仿宋_GB2312" w:eastAsia="仿宋_GB2312" w:cs="仿宋_GB2312"/>
                <w:color w:val="000000"/>
                <w:kern w:val="0"/>
                <w:sz w:val="21"/>
                <w:szCs w:val="21"/>
              </w:rPr>
              <w:t>符合第一、二类海水水质</w:t>
            </w:r>
            <w:r>
              <w:rPr>
                <w:rFonts w:hint="eastAsia" w:ascii="仿宋_GB2312" w:hAnsi="仿宋_GB2312" w:eastAsia="仿宋_GB2312" w:cs="仿宋_GB2312"/>
                <w:color w:val="000000"/>
                <w:kern w:val="0"/>
                <w:sz w:val="21"/>
                <w:szCs w:val="21"/>
                <w:lang w:eastAsia="zh-CN"/>
              </w:rPr>
              <w:t>的国省控点位数</w:t>
            </w:r>
            <w:r>
              <w:rPr>
                <w:rFonts w:hint="eastAsia" w:ascii="仿宋_GB2312" w:hAnsi="仿宋_GB2312" w:eastAsia="仿宋_GB2312" w:cs="仿宋_GB2312"/>
                <w:color w:val="000000"/>
                <w:kern w:val="0"/>
                <w:sz w:val="21"/>
                <w:szCs w:val="21"/>
              </w:rPr>
              <w:t>÷海湾</w:t>
            </w:r>
            <w:r>
              <w:rPr>
                <w:rFonts w:hint="eastAsia" w:ascii="仿宋_GB2312" w:hAnsi="仿宋_GB2312" w:eastAsia="仿宋_GB2312" w:cs="仿宋_GB2312"/>
                <w:color w:val="000000"/>
                <w:kern w:val="0"/>
                <w:sz w:val="21"/>
                <w:szCs w:val="21"/>
                <w:lang w:eastAsia="zh-CN"/>
              </w:rPr>
              <w:t>内</w:t>
            </w:r>
            <w:r>
              <w:rPr>
                <w:rFonts w:hint="eastAsia" w:ascii="仿宋_GB2312" w:hAnsi="仿宋_GB2312" w:eastAsia="仿宋_GB2312" w:cs="仿宋_GB2312"/>
                <w:color w:val="000000"/>
                <w:kern w:val="0"/>
                <w:sz w:val="21"/>
                <w:szCs w:val="21"/>
              </w:rPr>
              <w:t>总</w:t>
            </w:r>
            <w:r>
              <w:rPr>
                <w:rFonts w:hint="eastAsia" w:ascii="仿宋_GB2312" w:hAnsi="仿宋_GB2312" w:eastAsia="仿宋_GB2312" w:cs="仿宋_GB2312"/>
                <w:color w:val="000000"/>
                <w:kern w:val="0"/>
                <w:sz w:val="21"/>
                <w:szCs w:val="21"/>
                <w:lang w:eastAsia="zh-CN"/>
              </w:rPr>
              <w:t>国省控点位数</w:t>
            </w:r>
            <w:r>
              <w:rPr>
                <w:rFonts w:hint="eastAsia" w:ascii="仿宋_GB2312" w:hAnsi="仿宋_GB2312" w:eastAsia="仿宋_GB2312" w:cs="仿宋_GB2312"/>
                <w:color w:val="000000"/>
                <w:kern w:val="0"/>
                <w:sz w:val="21"/>
                <w:szCs w:val="21"/>
              </w:rPr>
              <w:t>×100%。</w:t>
            </w:r>
          </w:p>
          <w:p w14:paraId="63B41920">
            <w:pP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2.主要指标浓度年均值=年度内监测的主要指标浓度之和</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年度内</w:t>
            </w:r>
            <w:r>
              <w:rPr>
                <w:rFonts w:hint="eastAsia" w:ascii="仿宋_GB2312" w:hAnsi="仿宋_GB2312" w:eastAsia="仿宋_GB2312" w:cs="仿宋_GB2312"/>
                <w:color w:val="000000"/>
                <w:kern w:val="0"/>
                <w:sz w:val="21"/>
                <w:szCs w:val="21"/>
                <w:lang w:eastAsia="zh-CN"/>
              </w:rPr>
              <w:t>监测总次数</w:t>
            </w:r>
          </w:p>
          <w:p w14:paraId="1111DCEA">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数据来源：</w:t>
            </w:r>
            <w:r>
              <w:rPr>
                <w:rFonts w:hint="eastAsia" w:ascii="仿宋_GB2312" w:hAnsi="仿宋_GB2312" w:eastAsia="仿宋_GB2312" w:cs="仿宋_GB2312"/>
                <w:color w:val="000000"/>
                <w:kern w:val="0"/>
                <w:sz w:val="21"/>
                <w:szCs w:val="21"/>
              </w:rPr>
              <w:t>生态环境部门。</w:t>
            </w:r>
          </w:p>
        </w:tc>
        <w:tc>
          <w:tcPr>
            <w:tcW w:w="925" w:type="pct"/>
            <w:tcBorders>
              <w:bottom w:val="single" w:color="auto" w:sz="8" w:space="0"/>
            </w:tcBorders>
            <w:noWrap w:val="0"/>
            <w:vAlign w:val="center"/>
          </w:tcPr>
          <w:p w14:paraId="5F083368">
            <w:pPr>
              <w:numPr>
                <w:ilvl w:val="0"/>
                <w:numId w:val="0"/>
              </w:num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海湾</w:t>
            </w:r>
            <w:r>
              <w:rPr>
                <w:rFonts w:hint="eastAsia" w:ascii="仿宋_GB2312" w:hAnsi="仿宋_GB2312" w:eastAsia="仿宋_GB2312" w:cs="仿宋_GB2312"/>
                <w:color w:val="000000"/>
                <w:kern w:val="0"/>
                <w:sz w:val="21"/>
                <w:szCs w:val="21"/>
                <w:lang w:eastAsia="zh-CN"/>
              </w:rPr>
              <w:t>国省控点位</w:t>
            </w:r>
            <w:r>
              <w:rPr>
                <w:rFonts w:hint="eastAsia" w:ascii="仿宋_GB2312" w:hAnsi="仿宋_GB2312" w:eastAsia="仿宋_GB2312" w:cs="仿宋_GB2312"/>
                <w:color w:val="000000"/>
                <w:kern w:val="0"/>
                <w:sz w:val="21"/>
                <w:szCs w:val="21"/>
              </w:rPr>
              <w:t>水质优良比例与</w:t>
            </w:r>
            <w:r>
              <w:rPr>
                <w:rFonts w:hint="eastAsia" w:ascii="仿宋_GB2312" w:hAnsi="仿宋_GB2312" w:eastAsia="仿宋_GB2312" w:cs="仿宋_GB2312"/>
                <w:color w:val="000000"/>
                <w:kern w:val="0"/>
                <w:sz w:val="21"/>
                <w:szCs w:val="21"/>
                <w:lang w:eastAsia="zh-CN"/>
              </w:rPr>
              <w:t>上一年</w:t>
            </w:r>
            <w:r>
              <w:rPr>
                <w:rFonts w:hint="eastAsia" w:ascii="仿宋_GB2312" w:hAnsi="仿宋_GB2312" w:eastAsia="仿宋_GB2312" w:cs="仿宋_GB2312"/>
                <w:color w:val="000000"/>
                <w:kern w:val="0"/>
                <w:sz w:val="21"/>
                <w:szCs w:val="21"/>
              </w:rPr>
              <w:t>相比保持稳定或持续改善</w:t>
            </w:r>
            <w:r>
              <w:rPr>
                <w:rFonts w:hint="eastAsia" w:ascii="仿宋_GB2312" w:hAnsi="仿宋_GB2312" w:eastAsia="仿宋_GB2312" w:cs="仿宋_GB2312"/>
                <w:color w:val="000000"/>
                <w:kern w:val="0"/>
                <w:sz w:val="21"/>
                <w:szCs w:val="21"/>
                <w:lang w:eastAsia="zh-CN"/>
              </w:rPr>
              <w:t>；</w:t>
            </w:r>
          </w:p>
          <w:p w14:paraId="3EB0CE62">
            <w:pPr>
              <w:numPr>
                <w:ilvl w:val="0"/>
                <w:numId w:val="0"/>
              </w:num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2.无机氮和活性磷酸盐浓度年度均值在二类以上的或不高于上一年水平的。</w:t>
            </w:r>
          </w:p>
        </w:tc>
        <w:tc>
          <w:tcPr>
            <w:tcW w:w="341" w:type="pct"/>
            <w:tcBorders>
              <w:bottom w:val="single" w:color="auto" w:sz="8" w:space="0"/>
            </w:tcBorders>
            <w:noWrap w:val="0"/>
            <w:vAlign w:val="center"/>
          </w:tcPr>
          <w:p w14:paraId="54292F4C">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必选项</w:t>
            </w:r>
          </w:p>
        </w:tc>
        <w:tc>
          <w:tcPr>
            <w:tcW w:w="409" w:type="pct"/>
            <w:tcBorders>
              <w:bottom w:val="single" w:color="auto" w:sz="8" w:space="0"/>
            </w:tcBorders>
            <w:noWrap w:val="0"/>
            <w:vAlign w:val="center"/>
          </w:tcPr>
          <w:p w14:paraId="738CE95E">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c>
          <w:tcPr>
            <w:tcW w:w="411" w:type="pct"/>
            <w:tcBorders>
              <w:bottom w:val="single" w:color="auto" w:sz="8" w:space="0"/>
            </w:tcBorders>
            <w:noWrap w:val="0"/>
            <w:vAlign w:val="center"/>
          </w:tcPr>
          <w:p w14:paraId="77B17F93">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r>
      <w:tr w14:paraId="3F71CB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6" w:hRule="atLeast"/>
        </w:trPr>
        <w:tc>
          <w:tcPr>
            <w:tcW w:w="259" w:type="pct"/>
            <w:tcBorders>
              <w:bottom w:val="single" w:color="auto" w:sz="8" w:space="0"/>
            </w:tcBorders>
            <w:noWrap w:val="0"/>
            <w:vAlign w:val="center"/>
          </w:tcPr>
          <w:p w14:paraId="1F68326B">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333" w:type="pct"/>
            <w:vMerge w:val="continue"/>
            <w:tcBorders>
              <w:bottom w:val="single" w:color="auto" w:sz="8" w:space="0"/>
            </w:tcBorders>
            <w:noWrap w:val="0"/>
            <w:vAlign w:val="center"/>
          </w:tcPr>
          <w:p w14:paraId="03B8E80D">
            <w:pPr>
              <w:jc w:val="left"/>
              <w:rPr>
                <w:rFonts w:hint="eastAsia" w:ascii="仿宋_GB2312" w:hAnsi="仿宋_GB2312" w:eastAsia="仿宋_GB2312" w:cs="仿宋_GB2312"/>
                <w:color w:val="000000"/>
                <w:kern w:val="0"/>
                <w:sz w:val="21"/>
                <w:szCs w:val="21"/>
              </w:rPr>
            </w:pPr>
          </w:p>
        </w:tc>
        <w:tc>
          <w:tcPr>
            <w:tcW w:w="271" w:type="pct"/>
            <w:vMerge w:val="continue"/>
            <w:tcBorders>
              <w:bottom w:val="single" w:color="auto" w:sz="8" w:space="0"/>
            </w:tcBorders>
            <w:noWrap w:val="0"/>
            <w:vAlign w:val="center"/>
          </w:tcPr>
          <w:p w14:paraId="78C3FFE4">
            <w:pPr>
              <w:jc w:val="left"/>
              <w:rPr>
                <w:rFonts w:hint="eastAsia" w:ascii="仿宋_GB2312" w:hAnsi="仿宋_GB2312" w:eastAsia="仿宋_GB2312" w:cs="仿宋_GB2312"/>
                <w:color w:val="000000"/>
                <w:kern w:val="0"/>
                <w:sz w:val="21"/>
                <w:szCs w:val="21"/>
              </w:rPr>
            </w:pPr>
          </w:p>
        </w:tc>
        <w:tc>
          <w:tcPr>
            <w:tcW w:w="439" w:type="pct"/>
            <w:tcBorders>
              <w:bottom w:val="single" w:color="auto" w:sz="8" w:space="0"/>
            </w:tcBorders>
            <w:noWrap w:val="0"/>
            <w:vAlign w:val="center"/>
          </w:tcPr>
          <w:p w14:paraId="00A7A9E2">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海水感观状况</w:t>
            </w:r>
          </w:p>
        </w:tc>
        <w:tc>
          <w:tcPr>
            <w:tcW w:w="1610" w:type="pct"/>
            <w:tcBorders>
              <w:bottom w:val="single" w:color="auto" w:sz="8" w:space="0"/>
            </w:tcBorders>
            <w:noWrap w:val="0"/>
            <w:vAlign w:val="center"/>
          </w:tcPr>
          <w:p w14:paraId="5ABC62D0">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指标解释：</w:t>
            </w:r>
            <w:r>
              <w:rPr>
                <w:rFonts w:hint="eastAsia" w:ascii="仿宋_GB2312" w:hAnsi="仿宋_GB2312" w:eastAsia="仿宋_GB2312" w:cs="仿宋_GB2312"/>
                <w:color w:val="000000"/>
                <w:kern w:val="0"/>
                <w:sz w:val="21"/>
                <w:szCs w:val="21"/>
              </w:rPr>
              <w:t>指海水是否出现异色、异臭、异味等异常情况。</w:t>
            </w:r>
          </w:p>
          <w:p w14:paraId="5B02A1CE">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计算方法：</w:t>
            </w:r>
            <w:r>
              <w:rPr>
                <w:rFonts w:hint="eastAsia" w:ascii="仿宋_GB2312" w:hAnsi="仿宋_GB2312" w:eastAsia="仿宋_GB2312" w:cs="仿宋_GB2312"/>
                <w:color w:val="000000"/>
                <w:kern w:val="0"/>
                <w:sz w:val="21"/>
                <w:szCs w:val="21"/>
              </w:rPr>
              <w:t>依据《海洋监测规范 海水分析》（HY 17378.4-2007）等开展现场调查监测，结合和公众抽样调查等信息，了解海湾水体色、臭、味异常情况。</w:t>
            </w:r>
          </w:p>
          <w:p w14:paraId="6130080F">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数据来源：</w:t>
            </w:r>
            <w:r>
              <w:rPr>
                <w:rFonts w:hint="eastAsia" w:ascii="仿宋_GB2312" w:hAnsi="仿宋_GB2312" w:eastAsia="仿宋_GB2312" w:cs="仿宋_GB2312"/>
                <w:color w:val="000000"/>
                <w:kern w:val="0"/>
                <w:sz w:val="21"/>
                <w:szCs w:val="21"/>
              </w:rPr>
              <w:t>生态环境部门。</w:t>
            </w:r>
          </w:p>
        </w:tc>
        <w:tc>
          <w:tcPr>
            <w:tcW w:w="925" w:type="pct"/>
            <w:tcBorders>
              <w:bottom w:val="single" w:color="auto" w:sz="8" w:space="0"/>
            </w:tcBorders>
            <w:noWrap w:val="0"/>
            <w:vAlign w:val="center"/>
          </w:tcPr>
          <w:p w14:paraId="4B5578C3">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海湾水体无色、臭、味等影响公众感官体验的异常情况。</w:t>
            </w:r>
          </w:p>
        </w:tc>
        <w:tc>
          <w:tcPr>
            <w:tcW w:w="341" w:type="pct"/>
            <w:tcBorders>
              <w:bottom w:val="single" w:color="auto" w:sz="8" w:space="0"/>
            </w:tcBorders>
            <w:noWrap w:val="0"/>
            <w:vAlign w:val="center"/>
          </w:tcPr>
          <w:p w14:paraId="1ADD13C7">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必选项</w:t>
            </w:r>
          </w:p>
        </w:tc>
        <w:tc>
          <w:tcPr>
            <w:tcW w:w="409" w:type="pct"/>
            <w:tcBorders>
              <w:bottom w:val="single" w:color="auto" w:sz="8" w:space="0"/>
            </w:tcBorders>
            <w:noWrap w:val="0"/>
            <w:vAlign w:val="center"/>
          </w:tcPr>
          <w:p w14:paraId="2FC5867B">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c>
          <w:tcPr>
            <w:tcW w:w="411" w:type="pct"/>
            <w:tcBorders>
              <w:bottom w:val="single" w:color="auto" w:sz="8" w:space="0"/>
            </w:tcBorders>
            <w:noWrap w:val="0"/>
            <w:vAlign w:val="center"/>
          </w:tcPr>
          <w:p w14:paraId="77492D8A">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r>
      <w:tr w14:paraId="14B95A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259" w:type="pct"/>
            <w:tcBorders>
              <w:bottom w:val="single" w:color="auto" w:sz="8" w:space="0"/>
            </w:tcBorders>
            <w:noWrap w:val="0"/>
            <w:vAlign w:val="center"/>
          </w:tcPr>
          <w:p w14:paraId="3A50CCC3">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333" w:type="pct"/>
            <w:vMerge w:val="continue"/>
            <w:tcBorders>
              <w:bottom w:val="single" w:color="auto" w:sz="8" w:space="0"/>
            </w:tcBorders>
            <w:noWrap w:val="0"/>
            <w:vAlign w:val="center"/>
          </w:tcPr>
          <w:p w14:paraId="03472FC0">
            <w:pPr>
              <w:jc w:val="left"/>
              <w:rPr>
                <w:rFonts w:hint="eastAsia" w:ascii="仿宋_GB2312" w:hAnsi="仿宋_GB2312" w:eastAsia="仿宋_GB2312" w:cs="仿宋_GB2312"/>
                <w:color w:val="000000"/>
                <w:kern w:val="0"/>
                <w:sz w:val="21"/>
                <w:szCs w:val="21"/>
              </w:rPr>
            </w:pPr>
          </w:p>
        </w:tc>
        <w:tc>
          <w:tcPr>
            <w:tcW w:w="271" w:type="pct"/>
            <w:vMerge w:val="restart"/>
            <w:noWrap w:val="0"/>
            <w:vAlign w:val="center"/>
          </w:tcPr>
          <w:p w14:paraId="06323F5E">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入海污染</w:t>
            </w:r>
          </w:p>
          <w:p w14:paraId="75CFFB5B">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源状况</w:t>
            </w:r>
          </w:p>
        </w:tc>
        <w:tc>
          <w:tcPr>
            <w:tcW w:w="439" w:type="pct"/>
            <w:tcBorders>
              <w:bottom w:val="single" w:color="auto" w:sz="8" w:space="0"/>
            </w:tcBorders>
            <w:noWrap w:val="0"/>
            <w:vAlign w:val="center"/>
          </w:tcPr>
          <w:p w14:paraId="566192D8">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入海河流断面水质</w:t>
            </w:r>
          </w:p>
          <w:p w14:paraId="44E507D8">
            <w:pPr>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auto"/>
                <w:kern w:val="0"/>
                <w:sz w:val="21"/>
                <w:szCs w:val="21"/>
              </w:rPr>
              <w:t>达标率</w:t>
            </w:r>
          </w:p>
        </w:tc>
        <w:tc>
          <w:tcPr>
            <w:tcW w:w="1610" w:type="pct"/>
            <w:tcBorders>
              <w:bottom w:val="single" w:color="auto" w:sz="8" w:space="0"/>
            </w:tcBorders>
            <w:noWrap w:val="0"/>
            <w:vAlign w:val="center"/>
          </w:tcPr>
          <w:p w14:paraId="7FC9F8FD">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指标解释：</w:t>
            </w:r>
            <w:r>
              <w:rPr>
                <w:rFonts w:hint="eastAsia" w:ascii="仿宋_GB2312" w:hAnsi="仿宋_GB2312" w:eastAsia="仿宋_GB2312" w:cs="仿宋_GB2312"/>
                <w:color w:val="000000"/>
                <w:kern w:val="0"/>
                <w:sz w:val="21"/>
                <w:szCs w:val="21"/>
              </w:rPr>
              <w:t>指入海河流断面中水质</w:t>
            </w:r>
            <w:r>
              <w:rPr>
                <w:rFonts w:hint="eastAsia" w:ascii="仿宋_GB2312" w:hAnsi="仿宋_GB2312" w:eastAsia="仿宋_GB2312" w:cs="仿宋_GB2312"/>
                <w:color w:val="000000"/>
                <w:kern w:val="0"/>
                <w:sz w:val="21"/>
                <w:szCs w:val="21"/>
                <w:lang w:eastAsia="zh-CN"/>
              </w:rPr>
              <w:t>达到省级考核要求</w:t>
            </w:r>
            <w:r>
              <w:rPr>
                <w:rFonts w:hint="eastAsia" w:ascii="仿宋_GB2312" w:hAnsi="仿宋_GB2312" w:eastAsia="仿宋_GB2312" w:cs="仿宋_GB2312"/>
                <w:color w:val="000000"/>
                <w:kern w:val="0"/>
                <w:sz w:val="21"/>
                <w:szCs w:val="21"/>
              </w:rPr>
              <w:t>的断面占比，评估对象包括入海河流</w:t>
            </w:r>
            <w:r>
              <w:rPr>
                <w:rFonts w:hint="eastAsia" w:ascii="仿宋_GB2312" w:hAnsi="仿宋_GB2312" w:eastAsia="仿宋_GB2312" w:cs="仿宋_GB2312"/>
                <w:color w:val="000000"/>
                <w:kern w:val="0"/>
                <w:sz w:val="21"/>
                <w:szCs w:val="21"/>
                <w:lang w:eastAsia="zh-CN"/>
              </w:rPr>
              <w:t>最后一个国控或省控</w:t>
            </w:r>
            <w:r>
              <w:rPr>
                <w:rFonts w:hint="eastAsia" w:ascii="仿宋_GB2312" w:hAnsi="仿宋_GB2312" w:eastAsia="仿宋_GB2312" w:cs="仿宋_GB2312"/>
                <w:color w:val="000000"/>
                <w:kern w:val="0"/>
                <w:sz w:val="21"/>
                <w:szCs w:val="21"/>
              </w:rPr>
              <w:t>断面</w:t>
            </w:r>
            <w:r>
              <w:rPr>
                <w:rFonts w:hint="eastAsia" w:ascii="仿宋_GB2312" w:hAnsi="仿宋_GB2312" w:eastAsia="仿宋_GB2312" w:cs="仿宋_GB2312"/>
                <w:color w:val="000000"/>
                <w:kern w:val="0"/>
                <w:sz w:val="21"/>
                <w:szCs w:val="21"/>
                <w:lang w:eastAsia="zh-CN"/>
              </w:rPr>
              <w:t>以及海洋督察和中央环保督察涉及的城镇雨洪排口、入海沟渠、入海河流监测点位</w:t>
            </w:r>
            <w:r>
              <w:rPr>
                <w:rFonts w:hint="eastAsia" w:ascii="仿宋_GB2312" w:hAnsi="仿宋_GB2312" w:eastAsia="仿宋_GB2312" w:cs="仿宋_GB2312"/>
                <w:color w:val="000000"/>
                <w:kern w:val="0"/>
                <w:sz w:val="21"/>
                <w:szCs w:val="21"/>
              </w:rPr>
              <w:t>。</w:t>
            </w:r>
          </w:p>
          <w:p w14:paraId="2B37D13C">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计算方法：</w:t>
            </w:r>
            <w:r>
              <w:rPr>
                <w:rFonts w:hint="eastAsia" w:ascii="仿宋_GB2312" w:hAnsi="仿宋_GB2312" w:eastAsia="仿宋_GB2312" w:cs="仿宋_GB2312"/>
                <w:color w:val="000000"/>
                <w:kern w:val="0"/>
                <w:sz w:val="21"/>
                <w:szCs w:val="21"/>
              </w:rPr>
              <w:t>入海河流断面水质达标率（%）=水质</w:t>
            </w:r>
            <w:r>
              <w:rPr>
                <w:rFonts w:hint="eastAsia" w:ascii="仿宋_GB2312" w:hAnsi="仿宋_GB2312" w:eastAsia="仿宋_GB2312" w:cs="仿宋_GB2312"/>
                <w:color w:val="000000"/>
                <w:kern w:val="0"/>
                <w:sz w:val="21"/>
                <w:szCs w:val="21"/>
                <w:lang w:eastAsia="zh-CN"/>
              </w:rPr>
              <w:t>达到省级考核要求</w:t>
            </w:r>
            <w:r>
              <w:rPr>
                <w:rFonts w:hint="eastAsia" w:ascii="仿宋_GB2312" w:hAnsi="仿宋_GB2312" w:eastAsia="仿宋_GB2312" w:cs="仿宋_GB2312"/>
                <w:color w:val="000000"/>
                <w:kern w:val="0"/>
                <w:sz w:val="21"/>
                <w:szCs w:val="21"/>
              </w:rPr>
              <w:t>的入海河流断面的数量÷海湾入海河流断面的总数量×100%。</w:t>
            </w:r>
          </w:p>
          <w:p w14:paraId="14EEC778">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数据来源：</w:t>
            </w:r>
            <w:r>
              <w:rPr>
                <w:rFonts w:hint="eastAsia" w:ascii="仿宋_GB2312" w:hAnsi="仿宋_GB2312" w:eastAsia="仿宋_GB2312" w:cs="仿宋_GB2312"/>
                <w:color w:val="000000"/>
                <w:kern w:val="0"/>
                <w:sz w:val="21"/>
                <w:szCs w:val="21"/>
              </w:rPr>
              <w:t>生态环境部门。</w:t>
            </w:r>
          </w:p>
        </w:tc>
        <w:tc>
          <w:tcPr>
            <w:tcW w:w="925" w:type="pct"/>
            <w:tcBorders>
              <w:bottom w:val="single" w:color="auto" w:sz="8" w:space="0"/>
            </w:tcBorders>
            <w:noWrap w:val="0"/>
            <w:vAlign w:val="center"/>
          </w:tcPr>
          <w:p w14:paraId="6BF78B91">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w:t>
            </w:r>
          </w:p>
        </w:tc>
        <w:tc>
          <w:tcPr>
            <w:tcW w:w="1161" w:type="pct"/>
            <w:gridSpan w:val="3"/>
            <w:tcBorders>
              <w:bottom w:val="single" w:color="auto" w:sz="8" w:space="0"/>
            </w:tcBorders>
            <w:noWrap w:val="0"/>
            <w:vAlign w:val="center"/>
          </w:tcPr>
          <w:p w14:paraId="4D26A781">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基础项</w:t>
            </w:r>
          </w:p>
        </w:tc>
      </w:tr>
      <w:tr w14:paraId="1E226E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67" w:hRule="atLeast"/>
        </w:trPr>
        <w:tc>
          <w:tcPr>
            <w:tcW w:w="259" w:type="pct"/>
            <w:tcBorders>
              <w:bottom w:val="single" w:color="auto" w:sz="8" w:space="0"/>
            </w:tcBorders>
            <w:noWrap w:val="0"/>
            <w:vAlign w:val="center"/>
          </w:tcPr>
          <w:p w14:paraId="52FAA93F">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333" w:type="pct"/>
            <w:vMerge w:val="continue"/>
            <w:tcBorders>
              <w:bottom w:val="single" w:color="auto" w:sz="8" w:space="0"/>
            </w:tcBorders>
            <w:noWrap w:val="0"/>
            <w:vAlign w:val="center"/>
          </w:tcPr>
          <w:p w14:paraId="0EBAC040">
            <w:pPr>
              <w:jc w:val="left"/>
              <w:rPr>
                <w:rFonts w:hint="eastAsia" w:ascii="仿宋_GB2312" w:hAnsi="仿宋_GB2312" w:eastAsia="仿宋_GB2312" w:cs="仿宋_GB2312"/>
                <w:color w:val="000000"/>
                <w:kern w:val="0"/>
                <w:sz w:val="21"/>
                <w:szCs w:val="21"/>
              </w:rPr>
            </w:pPr>
          </w:p>
        </w:tc>
        <w:tc>
          <w:tcPr>
            <w:tcW w:w="271" w:type="pct"/>
            <w:vMerge w:val="continue"/>
            <w:tcBorders>
              <w:bottom w:val="single" w:color="auto" w:sz="8" w:space="0"/>
            </w:tcBorders>
            <w:noWrap w:val="0"/>
            <w:vAlign w:val="center"/>
          </w:tcPr>
          <w:p w14:paraId="2303CE9D">
            <w:pPr>
              <w:jc w:val="left"/>
              <w:rPr>
                <w:rFonts w:hint="eastAsia" w:ascii="仿宋_GB2312" w:hAnsi="仿宋_GB2312" w:eastAsia="仿宋_GB2312" w:cs="仿宋_GB2312"/>
                <w:color w:val="000000"/>
                <w:kern w:val="0"/>
                <w:sz w:val="21"/>
                <w:szCs w:val="21"/>
              </w:rPr>
            </w:pPr>
          </w:p>
        </w:tc>
        <w:tc>
          <w:tcPr>
            <w:tcW w:w="439" w:type="pct"/>
            <w:tcBorders>
              <w:bottom w:val="single" w:color="auto" w:sz="8" w:space="0"/>
            </w:tcBorders>
            <w:noWrap w:val="0"/>
            <w:vAlign w:val="center"/>
          </w:tcPr>
          <w:p w14:paraId="1C313304">
            <w:pPr>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000000"/>
                <w:kern w:val="0"/>
                <w:sz w:val="21"/>
                <w:szCs w:val="21"/>
              </w:rPr>
              <w:t>入海排污口达标排放率</w:t>
            </w:r>
          </w:p>
        </w:tc>
        <w:tc>
          <w:tcPr>
            <w:tcW w:w="1610" w:type="pct"/>
            <w:tcBorders>
              <w:bottom w:val="single" w:color="auto" w:sz="8" w:space="0"/>
            </w:tcBorders>
            <w:noWrap w:val="0"/>
            <w:vAlign w:val="center"/>
          </w:tcPr>
          <w:p w14:paraId="13F90D8A">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指标解释：</w:t>
            </w:r>
            <w:r>
              <w:rPr>
                <w:rFonts w:hint="eastAsia" w:ascii="仿宋_GB2312" w:hAnsi="仿宋_GB2312" w:eastAsia="仿宋_GB2312" w:cs="仿宋_GB2312"/>
                <w:color w:val="000000"/>
                <w:kern w:val="0"/>
                <w:sz w:val="21"/>
                <w:szCs w:val="21"/>
              </w:rPr>
              <w:t>指按照不同类型排污口的</w:t>
            </w:r>
            <w:r>
              <w:rPr>
                <w:rFonts w:hint="eastAsia" w:ascii="仿宋_GB2312" w:hAnsi="仿宋_GB2312" w:eastAsia="仿宋_GB2312" w:cs="仿宋_GB2312"/>
                <w:color w:val="000000"/>
                <w:kern w:val="0"/>
                <w:sz w:val="21"/>
                <w:szCs w:val="21"/>
                <w:lang w:eastAsia="zh-CN"/>
              </w:rPr>
              <w:t>整治</w:t>
            </w:r>
            <w:r>
              <w:rPr>
                <w:rFonts w:hint="eastAsia" w:ascii="仿宋_GB2312" w:hAnsi="仿宋_GB2312" w:eastAsia="仿宋_GB2312" w:cs="仿宋_GB2312"/>
                <w:color w:val="000000"/>
                <w:kern w:val="0"/>
                <w:sz w:val="21"/>
                <w:szCs w:val="21"/>
              </w:rPr>
              <w:t>标准，海湾内入海排污口中</w:t>
            </w:r>
            <w:r>
              <w:rPr>
                <w:rFonts w:hint="eastAsia" w:ascii="仿宋_GB2312" w:hAnsi="仿宋_GB2312" w:eastAsia="仿宋_GB2312" w:cs="仿宋_GB2312"/>
                <w:color w:val="000000"/>
                <w:kern w:val="0"/>
                <w:sz w:val="21"/>
                <w:szCs w:val="21"/>
                <w:lang w:eastAsia="zh-CN"/>
              </w:rPr>
              <w:t>达到整治要求</w:t>
            </w:r>
            <w:r>
              <w:rPr>
                <w:rFonts w:hint="eastAsia" w:ascii="仿宋_GB2312" w:hAnsi="仿宋_GB2312" w:eastAsia="仿宋_GB2312" w:cs="仿宋_GB2312"/>
                <w:color w:val="000000"/>
                <w:kern w:val="0"/>
                <w:sz w:val="21"/>
                <w:szCs w:val="21"/>
              </w:rPr>
              <w:t>的比例，评估对象包括工业企业、城镇污水处理厂</w:t>
            </w:r>
            <w:r>
              <w:rPr>
                <w:rFonts w:hint="eastAsia" w:ascii="仿宋_GB2312" w:hAnsi="仿宋_GB2312" w:eastAsia="仿宋_GB2312" w:cs="仿宋_GB2312"/>
                <w:color w:val="000000"/>
                <w:kern w:val="0"/>
                <w:sz w:val="21"/>
                <w:szCs w:val="21"/>
                <w:lang w:eastAsia="zh-CN"/>
              </w:rPr>
              <w:t>、农业排口以及其他排口</w:t>
            </w:r>
            <w:r>
              <w:rPr>
                <w:rFonts w:hint="eastAsia" w:ascii="仿宋_GB2312" w:hAnsi="仿宋_GB2312" w:eastAsia="仿宋_GB2312" w:cs="仿宋_GB2312"/>
                <w:color w:val="000000"/>
                <w:kern w:val="0"/>
                <w:sz w:val="21"/>
                <w:szCs w:val="21"/>
              </w:rPr>
              <w:t>的入海排污口。</w:t>
            </w:r>
          </w:p>
          <w:p w14:paraId="3351C8B1">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计算方法：</w:t>
            </w:r>
            <w:r>
              <w:rPr>
                <w:rFonts w:hint="eastAsia" w:ascii="仿宋_GB2312" w:hAnsi="仿宋_GB2312" w:eastAsia="仿宋_GB2312" w:cs="仿宋_GB2312"/>
                <w:color w:val="000000"/>
                <w:kern w:val="0"/>
                <w:sz w:val="21"/>
                <w:szCs w:val="21"/>
              </w:rPr>
              <w:t>入海排污口达标排放率（%）=达标排放的入海排污口数量÷海湾入海排污口总数量×100%。</w:t>
            </w:r>
            <w:r>
              <w:rPr>
                <w:rFonts w:hint="eastAsia" w:ascii="仿宋_GB2312" w:hAnsi="仿宋_GB2312" w:eastAsia="仿宋_GB2312" w:cs="仿宋_GB2312"/>
                <w:color w:val="000000"/>
                <w:kern w:val="0"/>
                <w:sz w:val="21"/>
                <w:szCs w:val="21"/>
                <w:lang w:eastAsia="zh-CN"/>
              </w:rPr>
              <w:t>其中入海排污口整治后</w:t>
            </w:r>
            <w:r>
              <w:rPr>
                <w:rFonts w:hint="eastAsia" w:ascii="仿宋_GB2312" w:hAnsi="仿宋_GB2312" w:eastAsia="仿宋_GB2312" w:cs="仿宋_GB2312"/>
                <w:b w:val="0"/>
                <w:bCs w:val="0"/>
                <w:color w:val="000000"/>
                <w:kern w:val="0"/>
                <w:sz w:val="21"/>
                <w:szCs w:val="21"/>
                <w:lang w:eastAsia="zh-CN"/>
              </w:rPr>
              <w:t>符合</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福建省人民政府办公厅关于印发</w:t>
            </w:r>
            <w:r>
              <w:rPr>
                <w:rFonts w:hint="eastAsia" w:ascii="仿宋_GB2312" w:hAnsi="仿宋_GB2312" w:eastAsia="仿宋_GB2312" w:cs="仿宋_GB2312"/>
                <w:color w:val="000000"/>
                <w:kern w:val="0"/>
                <w:sz w:val="21"/>
                <w:szCs w:val="21"/>
              </w:rPr>
              <w:t>加强入河入海排污口监督管理工作</w:t>
            </w:r>
            <w:r>
              <w:rPr>
                <w:rFonts w:hint="eastAsia" w:ascii="仿宋_GB2312" w:hAnsi="仿宋_GB2312" w:eastAsia="仿宋_GB2312" w:cs="仿宋_GB2312"/>
                <w:color w:val="000000"/>
                <w:kern w:val="0"/>
                <w:sz w:val="21"/>
                <w:szCs w:val="21"/>
                <w:lang w:eastAsia="zh-CN"/>
              </w:rPr>
              <w:t>方案的通知</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闽政办</w:t>
            </w:r>
            <w:r>
              <w:rPr>
                <w:rFonts w:hint="eastAsia" w:ascii="仿宋_GB2312" w:hAnsi="仿宋_GB2312" w:eastAsia="仿宋_GB2312" w:cs="仿宋_GB2312"/>
                <w:color w:val="000000"/>
                <w:kern w:val="0"/>
                <w:sz w:val="21"/>
                <w:szCs w:val="21"/>
              </w:rPr>
              <w:t>〔2022〕</w:t>
            </w:r>
            <w:r>
              <w:rPr>
                <w:rFonts w:hint="eastAsia" w:ascii="仿宋_GB2312" w:hAnsi="仿宋_GB2312" w:eastAsia="仿宋_GB2312" w:cs="仿宋_GB2312"/>
                <w:color w:val="000000"/>
                <w:kern w:val="0"/>
                <w:sz w:val="21"/>
                <w:szCs w:val="21"/>
                <w:lang w:val="en-US" w:eastAsia="zh-CN"/>
              </w:rPr>
              <w:t>43</w:t>
            </w:r>
            <w:r>
              <w:rPr>
                <w:rFonts w:hint="eastAsia" w:ascii="仿宋_GB2312" w:hAnsi="仿宋_GB2312" w:eastAsia="仿宋_GB2312" w:cs="仿宋_GB2312"/>
                <w:color w:val="000000"/>
                <w:kern w:val="0"/>
                <w:sz w:val="21"/>
                <w:szCs w:val="21"/>
              </w:rPr>
              <w:t>号）</w:t>
            </w:r>
            <w:r>
              <w:rPr>
                <w:rFonts w:hint="eastAsia" w:ascii="仿宋_GB2312" w:hAnsi="仿宋_GB2312" w:eastAsia="仿宋_GB2312" w:cs="仿宋_GB2312"/>
                <w:color w:val="000000"/>
                <w:kern w:val="0"/>
                <w:sz w:val="21"/>
                <w:szCs w:val="21"/>
                <w:lang w:eastAsia="zh-CN"/>
              </w:rPr>
              <w:t>相关要求的，视为达标。</w:t>
            </w:r>
          </w:p>
          <w:p w14:paraId="133079CC">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数据来源：</w:t>
            </w:r>
            <w:r>
              <w:rPr>
                <w:rFonts w:hint="eastAsia" w:ascii="仿宋_GB2312" w:hAnsi="仿宋_GB2312" w:eastAsia="仿宋_GB2312" w:cs="仿宋_GB2312"/>
                <w:color w:val="000000"/>
                <w:kern w:val="0"/>
                <w:sz w:val="21"/>
                <w:szCs w:val="21"/>
              </w:rPr>
              <w:t>生态环境部门。</w:t>
            </w:r>
          </w:p>
        </w:tc>
        <w:tc>
          <w:tcPr>
            <w:tcW w:w="925" w:type="pct"/>
            <w:tcBorders>
              <w:bottom w:val="single" w:color="auto" w:sz="8" w:space="0"/>
            </w:tcBorders>
            <w:noWrap w:val="0"/>
            <w:vAlign w:val="center"/>
          </w:tcPr>
          <w:p w14:paraId="528C9C79">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w:t>
            </w:r>
          </w:p>
        </w:tc>
        <w:tc>
          <w:tcPr>
            <w:tcW w:w="1161" w:type="pct"/>
            <w:gridSpan w:val="3"/>
            <w:tcBorders>
              <w:bottom w:val="single" w:color="auto" w:sz="8" w:space="0"/>
            </w:tcBorders>
            <w:noWrap w:val="0"/>
            <w:vAlign w:val="center"/>
          </w:tcPr>
          <w:p w14:paraId="3CDED2C4">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基础项</w:t>
            </w:r>
          </w:p>
        </w:tc>
      </w:tr>
      <w:tr w14:paraId="438352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7" w:hRule="atLeast"/>
        </w:trPr>
        <w:tc>
          <w:tcPr>
            <w:tcW w:w="259" w:type="pct"/>
            <w:noWrap w:val="0"/>
            <w:vAlign w:val="center"/>
          </w:tcPr>
          <w:p w14:paraId="6A2E148A">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333" w:type="pct"/>
            <w:vMerge w:val="continue"/>
            <w:noWrap w:val="0"/>
            <w:vAlign w:val="center"/>
          </w:tcPr>
          <w:p w14:paraId="37B93D10">
            <w:pPr>
              <w:jc w:val="left"/>
              <w:rPr>
                <w:rFonts w:hint="eastAsia" w:ascii="仿宋_GB2312" w:hAnsi="仿宋_GB2312" w:eastAsia="仿宋_GB2312" w:cs="仿宋_GB2312"/>
                <w:color w:val="000000"/>
                <w:kern w:val="0"/>
                <w:sz w:val="21"/>
                <w:szCs w:val="21"/>
              </w:rPr>
            </w:pPr>
          </w:p>
        </w:tc>
        <w:tc>
          <w:tcPr>
            <w:tcW w:w="271" w:type="pct"/>
            <w:noWrap w:val="0"/>
            <w:vAlign w:val="center"/>
          </w:tcPr>
          <w:p w14:paraId="354C32D3">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岸滩环境</w:t>
            </w:r>
          </w:p>
          <w:p w14:paraId="300E94C8">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质量状况</w:t>
            </w:r>
          </w:p>
        </w:tc>
        <w:tc>
          <w:tcPr>
            <w:tcW w:w="439" w:type="pct"/>
            <w:noWrap w:val="0"/>
            <w:vAlign w:val="center"/>
          </w:tcPr>
          <w:p w14:paraId="7B482ACD">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岸滩和海漂垃圾状况</w:t>
            </w:r>
          </w:p>
        </w:tc>
        <w:tc>
          <w:tcPr>
            <w:tcW w:w="1610" w:type="pct"/>
            <w:noWrap w:val="0"/>
            <w:vAlign w:val="center"/>
          </w:tcPr>
          <w:p w14:paraId="20430101">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指标解释：</w:t>
            </w:r>
            <w:r>
              <w:rPr>
                <w:rFonts w:hint="eastAsia" w:ascii="仿宋_GB2312" w:hAnsi="仿宋_GB2312" w:eastAsia="仿宋_GB2312" w:cs="仿宋_GB2312"/>
                <w:color w:val="000000"/>
                <w:kern w:val="0"/>
                <w:sz w:val="21"/>
                <w:szCs w:val="21"/>
              </w:rPr>
              <w:t>指在岸滩及毗邻浅水区具有持久性的、人造或加工后被丢弃的固体垃圾。</w:t>
            </w:r>
          </w:p>
          <w:p w14:paraId="7A08C908">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计算方法：</w:t>
            </w:r>
            <w:r>
              <w:rPr>
                <w:rFonts w:hint="eastAsia" w:ascii="仿宋_GB2312" w:hAnsi="仿宋_GB2312" w:eastAsia="仿宋_GB2312" w:cs="仿宋_GB2312"/>
                <w:color w:val="000000"/>
                <w:kern w:val="0"/>
                <w:sz w:val="21"/>
                <w:szCs w:val="21"/>
              </w:rPr>
              <w:t>依据我省海漂垃圾无人机航拍监测，统计海漂垃圾分布密度</w:t>
            </w:r>
            <w:r>
              <w:rPr>
                <w:rFonts w:hint="eastAsia" w:ascii="仿宋_GB2312" w:hAnsi="仿宋_GB2312" w:eastAsia="仿宋_GB2312" w:cs="仿宋_GB2312"/>
                <w:color w:val="000000"/>
                <w:kern w:val="0"/>
                <w:sz w:val="21"/>
                <w:szCs w:val="21"/>
                <w:lang w:eastAsia="zh-CN"/>
              </w:rPr>
              <w:t>或覆盖度</w:t>
            </w:r>
            <w:r>
              <w:rPr>
                <w:rFonts w:hint="eastAsia" w:ascii="仿宋_GB2312" w:hAnsi="仿宋_GB2312" w:eastAsia="仿宋_GB2312" w:cs="仿宋_GB2312"/>
                <w:color w:val="000000"/>
                <w:kern w:val="0"/>
                <w:sz w:val="21"/>
                <w:szCs w:val="21"/>
              </w:rPr>
              <w:t>。</w:t>
            </w:r>
          </w:p>
          <w:p w14:paraId="5AFCB23B">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数据来源：</w:t>
            </w:r>
            <w:r>
              <w:rPr>
                <w:rFonts w:hint="eastAsia" w:ascii="仿宋_GB2312" w:hAnsi="仿宋_GB2312" w:eastAsia="仿宋_GB2312" w:cs="仿宋_GB2312"/>
                <w:color w:val="000000"/>
                <w:kern w:val="0"/>
                <w:sz w:val="21"/>
                <w:szCs w:val="21"/>
              </w:rPr>
              <w:t>生态环境部门。</w:t>
            </w:r>
          </w:p>
        </w:tc>
        <w:tc>
          <w:tcPr>
            <w:tcW w:w="925" w:type="pct"/>
            <w:noWrap w:val="0"/>
            <w:vAlign w:val="center"/>
          </w:tcPr>
          <w:p w14:paraId="161E9A3C">
            <w:pPr>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海漂垃圾分布密度小于</w:t>
            </w:r>
            <w:r>
              <w:rPr>
                <w:rFonts w:hint="eastAsia" w:ascii="仿宋_GB2312" w:hAnsi="仿宋_GB2312" w:eastAsia="仿宋_GB2312" w:cs="仿宋_GB2312"/>
                <w:color w:val="000000"/>
                <w:kern w:val="0"/>
                <w:sz w:val="21"/>
                <w:szCs w:val="21"/>
                <w:lang w:val="en-US" w:eastAsia="zh-CN"/>
              </w:rPr>
              <w:t>200</w:t>
            </w:r>
            <w:r>
              <w:rPr>
                <w:rFonts w:hint="eastAsia" w:ascii="仿宋_GB2312" w:hAnsi="仿宋_GB2312" w:eastAsia="仿宋_GB2312" w:cs="仿宋_GB2312"/>
                <w:color w:val="000000"/>
                <w:kern w:val="0"/>
                <w:sz w:val="21"/>
                <w:szCs w:val="21"/>
              </w:rPr>
              <w:t>平方米/千米</w:t>
            </w:r>
            <w:r>
              <w:rPr>
                <w:rFonts w:hint="eastAsia" w:ascii="仿宋_GB2312" w:hAnsi="仿宋_GB2312" w:eastAsia="仿宋_GB2312" w:cs="仿宋_GB2312"/>
                <w:color w:val="000000"/>
                <w:kern w:val="0"/>
                <w:sz w:val="21"/>
                <w:szCs w:val="21"/>
                <w:lang w:eastAsia="zh-CN"/>
              </w:rPr>
              <w:t>或覆盖度小于</w:t>
            </w:r>
            <w:r>
              <w:rPr>
                <w:rFonts w:hint="eastAsia" w:ascii="仿宋_GB2312" w:hAnsi="仿宋_GB2312" w:eastAsia="仿宋_GB2312" w:cs="仿宋_GB2312"/>
                <w:color w:val="000000"/>
                <w:kern w:val="0"/>
                <w:sz w:val="21"/>
                <w:szCs w:val="21"/>
                <w:lang w:val="en-US" w:eastAsia="zh-CN"/>
              </w:rPr>
              <w:t>500</w:t>
            </w:r>
            <w:r>
              <w:rPr>
                <w:rFonts w:hint="eastAsia" w:ascii="仿宋_GB2312" w:hAnsi="仿宋_GB2312" w:eastAsia="仿宋_GB2312" w:cs="仿宋_GB2312"/>
                <w:color w:val="000000"/>
                <w:kern w:val="0"/>
                <w:sz w:val="21"/>
                <w:szCs w:val="21"/>
              </w:rPr>
              <w:t>平方米/</w:t>
            </w:r>
            <w:r>
              <w:rPr>
                <w:rFonts w:hint="eastAsia" w:ascii="仿宋_GB2312" w:hAnsi="仿宋_GB2312" w:eastAsia="仿宋_GB2312" w:cs="仿宋_GB2312"/>
                <w:color w:val="000000"/>
                <w:kern w:val="0"/>
                <w:sz w:val="21"/>
                <w:szCs w:val="21"/>
                <w:lang w:eastAsia="zh-CN"/>
              </w:rPr>
              <w:t>平方</w:t>
            </w:r>
            <w:r>
              <w:rPr>
                <w:rFonts w:hint="eastAsia" w:ascii="仿宋_GB2312" w:hAnsi="仿宋_GB2312" w:eastAsia="仿宋_GB2312" w:cs="仿宋_GB2312"/>
                <w:color w:val="000000"/>
                <w:kern w:val="0"/>
                <w:sz w:val="21"/>
                <w:szCs w:val="21"/>
              </w:rPr>
              <w:t>千米，重点岸段无明显可见垃圾。</w:t>
            </w:r>
          </w:p>
        </w:tc>
        <w:tc>
          <w:tcPr>
            <w:tcW w:w="1161" w:type="pct"/>
            <w:gridSpan w:val="3"/>
            <w:noWrap w:val="0"/>
            <w:vAlign w:val="center"/>
          </w:tcPr>
          <w:p w14:paraId="053377F5">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基础项</w:t>
            </w:r>
          </w:p>
        </w:tc>
      </w:tr>
      <w:tr w14:paraId="417DEF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34" w:hRule="atLeast"/>
        </w:trPr>
        <w:tc>
          <w:tcPr>
            <w:tcW w:w="259" w:type="pct"/>
            <w:noWrap w:val="0"/>
            <w:vAlign w:val="center"/>
          </w:tcPr>
          <w:p w14:paraId="3480854D">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333" w:type="pct"/>
            <w:vMerge w:val="restart"/>
            <w:noWrap w:val="0"/>
            <w:vAlign w:val="center"/>
          </w:tcPr>
          <w:p w14:paraId="7C04F01D">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鱼鸥</w:t>
            </w:r>
          </w:p>
          <w:p w14:paraId="4F65A6F7">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翔集</w:t>
            </w:r>
          </w:p>
        </w:tc>
        <w:tc>
          <w:tcPr>
            <w:tcW w:w="271" w:type="pct"/>
            <w:noWrap w:val="0"/>
            <w:vAlign w:val="center"/>
          </w:tcPr>
          <w:p w14:paraId="3732BBB2">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海洋生物</w:t>
            </w:r>
          </w:p>
          <w:p w14:paraId="1A066E62">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状况</w:t>
            </w:r>
          </w:p>
        </w:tc>
        <w:tc>
          <w:tcPr>
            <w:tcW w:w="439" w:type="pct"/>
            <w:noWrap w:val="0"/>
            <w:vAlign w:val="center"/>
          </w:tcPr>
          <w:p w14:paraId="2C55F42B">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重要海洋生物保护情况</w:t>
            </w:r>
          </w:p>
        </w:tc>
        <w:tc>
          <w:tcPr>
            <w:tcW w:w="1610" w:type="pct"/>
            <w:noWrap w:val="0"/>
            <w:vAlign w:val="center"/>
          </w:tcPr>
          <w:p w14:paraId="4CE30419">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指标解释：</w:t>
            </w:r>
            <w:r>
              <w:rPr>
                <w:rFonts w:hint="eastAsia" w:ascii="仿宋_GB2312" w:hAnsi="仿宋_GB2312" w:eastAsia="仿宋_GB2312" w:cs="仿宋_GB2312"/>
                <w:color w:val="000000"/>
                <w:kern w:val="0"/>
                <w:sz w:val="21"/>
                <w:szCs w:val="21"/>
              </w:rPr>
              <w:t>列入《国家重点保护野生动物名录》《世界自然保护联盟濒危物种红色名录（IUCN红色名录）》等珍稀、濒危海洋生物保护养护情况；海湾本地关键物种（含重要海洋渔业经济生物）保护养护以及恢复情况；列入国家重点管理外来物种名录</w:t>
            </w:r>
            <w:r>
              <w:rPr>
                <w:rFonts w:hint="eastAsia" w:ascii="仿宋_GB2312" w:hAnsi="仿宋_GB2312" w:eastAsia="仿宋_GB2312" w:cs="仿宋_GB2312"/>
                <w:color w:val="000000"/>
                <w:kern w:val="0"/>
                <w:sz w:val="21"/>
                <w:szCs w:val="21"/>
                <w:lang w:eastAsia="zh-CN"/>
              </w:rPr>
              <w:t>的互花米草</w:t>
            </w:r>
            <w:r>
              <w:rPr>
                <w:rFonts w:hint="eastAsia" w:ascii="仿宋_GB2312" w:hAnsi="仿宋_GB2312" w:eastAsia="仿宋_GB2312" w:cs="仿宋_GB2312"/>
                <w:color w:val="000000"/>
                <w:kern w:val="0"/>
                <w:sz w:val="21"/>
                <w:szCs w:val="21"/>
              </w:rPr>
              <w:t>等外来物种入侵以及控制情况。</w:t>
            </w:r>
          </w:p>
          <w:p w14:paraId="02F27FD2">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计算方法：</w:t>
            </w:r>
            <w:r>
              <w:rPr>
                <w:rFonts w:hint="eastAsia" w:ascii="仿宋_GB2312" w:hAnsi="仿宋_GB2312" w:eastAsia="仿宋_GB2312" w:cs="仿宋_GB2312"/>
                <w:color w:val="000000"/>
                <w:kern w:val="0"/>
                <w:sz w:val="21"/>
                <w:szCs w:val="21"/>
              </w:rPr>
              <w:t>统计珍稀、濒危海洋生物及典型物种、外来入侵物种生物种群数量或分布面积等数据，判定其较2020年的变化情况。</w:t>
            </w:r>
          </w:p>
          <w:p w14:paraId="399A4264">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数据来源：</w:t>
            </w:r>
            <w:r>
              <w:rPr>
                <w:rFonts w:hint="eastAsia" w:ascii="仿宋_GB2312" w:hAnsi="仿宋_GB2312" w:eastAsia="仿宋_GB2312" w:cs="仿宋_GB2312"/>
                <w:color w:val="000000"/>
                <w:kern w:val="0"/>
                <w:sz w:val="21"/>
                <w:szCs w:val="21"/>
              </w:rPr>
              <w:t>农业农村部门、</w:t>
            </w:r>
            <w:r>
              <w:rPr>
                <w:rFonts w:hint="eastAsia" w:ascii="仿宋_GB2312" w:hAnsi="仿宋_GB2312" w:eastAsia="仿宋_GB2312" w:cs="仿宋_GB2312"/>
                <w:color w:val="000000"/>
                <w:kern w:val="0"/>
                <w:sz w:val="21"/>
                <w:szCs w:val="21"/>
                <w:lang w:eastAsia="zh-CN"/>
              </w:rPr>
              <w:t>林业部门、</w:t>
            </w:r>
            <w:r>
              <w:rPr>
                <w:rFonts w:hint="eastAsia" w:ascii="仿宋_GB2312" w:hAnsi="仿宋_GB2312" w:eastAsia="仿宋_GB2312" w:cs="仿宋_GB2312"/>
                <w:color w:val="000000"/>
                <w:kern w:val="0"/>
                <w:sz w:val="21"/>
                <w:szCs w:val="21"/>
              </w:rPr>
              <w:t>生态环境部门。</w:t>
            </w:r>
          </w:p>
        </w:tc>
        <w:tc>
          <w:tcPr>
            <w:tcW w:w="925" w:type="pct"/>
            <w:noWrap w:val="0"/>
            <w:vAlign w:val="center"/>
          </w:tcPr>
          <w:p w14:paraId="10FE06F5">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珍贵、濒危生物或本地关键物种及种群数量稳定；外来入侵物种分布范围得到控制。</w:t>
            </w:r>
          </w:p>
        </w:tc>
        <w:tc>
          <w:tcPr>
            <w:tcW w:w="341" w:type="pct"/>
            <w:noWrap w:val="0"/>
            <w:vAlign w:val="center"/>
          </w:tcPr>
          <w:p w14:paraId="1A978DE7">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c>
          <w:tcPr>
            <w:tcW w:w="409" w:type="pct"/>
            <w:noWrap w:val="0"/>
            <w:vAlign w:val="center"/>
          </w:tcPr>
          <w:p w14:paraId="14838BF4">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必选项</w:t>
            </w:r>
          </w:p>
        </w:tc>
        <w:tc>
          <w:tcPr>
            <w:tcW w:w="411" w:type="pct"/>
            <w:noWrap w:val="0"/>
            <w:vAlign w:val="center"/>
          </w:tcPr>
          <w:p w14:paraId="10A564D8">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r>
      <w:tr w14:paraId="2C202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59" w:type="pct"/>
            <w:tcBorders>
              <w:bottom w:val="single" w:color="auto" w:sz="8" w:space="0"/>
            </w:tcBorders>
            <w:noWrap w:val="0"/>
            <w:vAlign w:val="center"/>
          </w:tcPr>
          <w:p w14:paraId="1469C309">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w:t>
            </w:r>
          </w:p>
        </w:tc>
        <w:tc>
          <w:tcPr>
            <w:tcW w:w="333" w:type="pct"/>
            <w:vMerge w:val="continue"/>
            <w:tcBorders>
              <w:bottom w:val="single" w:color="auto" w:sz="8" w:space="0"/>
            </w:tcBorders>
            <w:noWrap w:val="0"/>
            <w:vAlign w:val="center"/>
          </w:tcPr>
          <w:p w14:paraId="64FDA9A2">
            <w:pPr>
              <w:jc w:val="left"/>
              <w:rPr>
                <w:rFonts w:hint="eastAsia" w:ascii="仿宋_GB2312" w:hAnsi="仿宋_GB2312" w:eastAsia="仿宋_GB2312" w:cs="仿宋_GB2312"/>
                <w:color w:val="000000"/>
                <w:kern w:val="0"/>
                <w:sz w:val="21"/>
                <w:szCs w:val="21"/>
              </w:rPr>
            </w:pPr>
          </w:p>
        </w:tc>
        <w:tc>
          <w:tcPr>
            <w:tcW w:w="271" w:type="pct"/>
            <w:tcBorders>
              <w:bottom w:val="single" w:color="auto" w:sz="8" w:space="0"/>
            </w:tcBorders>
            <w:noWrap w:val="0"/>
            <w:vAlign w:val="center"/>
          </w:tcPr>
          <w:p w14:paraId="44CDFBEB">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海洋生态系统状况</w:t>
            </w:r>
          </w:p>
        </w:tc>
        <w:tc>
          <w:tcPr>
            <w:tcW w:w="439" w:type="pct"/>
            <w:tcBorders>
              <w:bottom w:val="single" w:color="auto" w:sz="8" w:space="0"/>
            </w:tcBorders>
            <w:noWrap w:val="0"/>
            <w:vAlign w:val="center"/>
          </w:tcPr>
          <w:p w14:paraId="358AC9C0">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滨海湿地和自然岸线保护情况</w:t>
            </w:r>
          </w:p>
        </w:tc>
        <w:tc>
          <w:tcPr>
            <w:tcW w:w="1610" w:type="pct"/>
            <w:tcBorders>
              <w:bottom w:val="single" w:color="auto" w:sz="8" w:space="0"/>
            </w:tcBorders>
            <w:noWrap w:val="0"/>
            <w:vAlign w:val="center"/>
          </w:tcPr>
          <w:p w14:paraId="4A819E0F">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指标解释：</w:t>
            </w:r>
            <w:r>
              <w:rPr>
                <w:rFonts w:hint="eastAsia" w:ascii="仿宋_GB2312" w:hAnsi="仿宋_GB2312" w:eastAsia="仿宋_GB2312" w:cs="仿宋_GB2312"/>
                <w:color w:val="000000"/>
                <w:kern w:val="0"/>
                <w:sz w:val="21"/>
                <w:szCs w:val="21"/>
              </w:rPr>
              <w:t>海湾范围内重要滨海湿地、自然岸线等是否纳入海洋生态保护红线管控范畴并实施有效保护和恢复修复；区域内珊瑚礁、红树林、海草床等典型海洋生态系统的健康状况。</w:t>
            </w:r>
          </w:p>
          <w:p w14:paraId="07146309">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计算方法：</w:t>
            </w:r>
            <w:r>
              <w:rPr>
                <w:rFonts w:hint="eastAsia" w:ascii="仿宋_GB2312" w:hAnsi="仿宋_GB2312" w:eastAsia="仿宋_GB2312" w:cs="仿宋_GB2312"/>
                <w:color w:val="000000"/>
                <w:kern w:val="0"/>
                <w:sz w:val="21"/>
                <w:szCs w:val="21"/>
              </w:rPr>
              <w:t>统计海湾内重要滨海湿地、自然岸线等是否纳入海洋生态保护红线及其面积、长度、功能、性质等数据，判定其较2020年的变化情况；涉及珊瑚礁、红树林、海草床等典型海洋生态系统的，依照《近岸海洋生态健康评价指南》（HY/T 087-2005）开展生态健康评价。</w:t>
            </w:r>
          </w:p>
          <w:p w14:paraId="337EF22F">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数据来源：</w:t>
            </w:r>
            <w:r>
              <w:rPr>
                <w:rFonts w:hint="eastAsia" w:ascii="仿宋_GB2312" w:hAnsi="仿宋_GB2312" w:eastAsia="仿宋_GB2312" w:cs="仿宋_GB2312"/>
                <w:color w:val="000000"/>
                <w:kern w:val="0"/>
                <w:sz w:val="21"/>
                <w:szCs w:val="21"/>
              </w:rPr>
              <w:t>生态环境部门、自然资源部门</w:t>
            </w:r>
            <w:r>
              <w:rPr>
                <w:rFonts w:hint="eastAsia" w:ascii="仿宋_GB2312" w:hAnsi="仿宋_GB2312" w:eastAsia="仿宋_GB2312" w:cs="仿宋_GB2312"/>
                <w:color w:val="000000"/>
                <w:kern w:val="0"/>
                <w:sz w:val="21"/>
                <w:szCs w:val="21"/>
                <w:lang w:eastAsia="zh-CN"/>
              </w:rPr>
              <w:t>、林业部门</w:t>
            </w:r>
            <w:r>
              <w:rPr>
                <w:rFonts w:hint="eastAsia" w:ascii="仿宋_GB2312" w:hAnsi="仿宋_GB2312" w:eastAsia="仿宋_GB2312" w:cs="仿宋_GB2312"/>
                <w:color w:val="000000"/>
                <w:kern w:val="0"/>
                <w:sz w:val="21"/>
                <w:szCs w:val="21"/>
              </w:rPr>
              <w:t>。</w:t>
            </w:r>
          </w:p>
        </w:tc>
        <w:tc>
          <w:tcPr>
            <w:tcW w:w="925" w:type="pct"/>
            <w:tcBorders>
              <w:bottom w:val="single" w:color="auto" w:sz="8" w:space="0"/>
            </w:tcBorders>
            <w:noWrap w:val="0"/>
            <w:vAlign w:val="center"/>
          </w:tcPr>
          <w:p w14:paraId="093ACE78">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重要滨海湿地、自然岸线等纳入海洋生态保护红线范畴，且重要滨海湿地面积和自然岸线长度不减少、功能不降低、性质不改变；典型海洋生态系统无“不健康”等级，且健康状况保持稳定或持续改善。</w:t>
            </w:r>
          </w:p>
        </w:tc>
        <w:tc>
          <w:tcPr>
            <w:tcW w:w="341" w:type="pct"/>
            <w:tcBorders>
              <w:bottom w:val="single" w:color="auto" w:sz="8" w:space="0"/>
            </w:tcBorders>
            <w:noWrap w:val="0"/>
            <w:vAlign w:val="center"/>
          </w:tcPr>
          <w:p w14:paraId="1A249371">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c>
          <w:tcPr>
            <w:tcW w:w="409" w:type="pct"/>
            <w:tcBorders>
              <w:bottom w:val="single" w:color="auto" w:sz="8" w:space="0"/>
            </w:tcBorders>
            <w:noWrap w:val="0"/>
            <w:vAlign w:val="center"/>
          </w:tcPr>
          <w:p w14:paraId="1A888A3A">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必选项</w:t>
            </w:r>
          </w:p>
        </w:tc>
        <w:tc>
          <w:tcPr>
            <w:tcW w:w="411" w:type="pct"/>
            <w:tcBorders>
              <w:bottom w:val="single" w:color="auto" w:sz="8" w:space="0"/>
            </w:tcBorders>
            <w:noWrap w:val="0"/>
            <w:vAlign w:val="center"/>
          </w:tcPr>
          <w:p w14:paraId="3A4FDEC8">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r>
      <w:tr w14:paraId="5C4F19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66" w:hRule="atLeast"/>
        </w:trPr>
        <w:tc>
          <w:tcPr>
            <w:tcW w:w="259" w:type="pct"/>
            <w:noWrap w:val="0"/>
            <w:vAlign w:val="center"/>
          </w:tcPr>
          <w:p w14:paraId="6EEA5984">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333" w:type="pct"/>
            <w:vMerge w:val="restart"/>
            <w:noWrap w:val="0"/>
            <w:vAlign w:val="center"/>
          </w:tcPr>
          <w:p w14:paraId="17E87F19">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人海</w:t>
            </w:r>
          </w:p>
          <w:p w14:paraId="0F124949">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和谐</w:t>
            </w:r>
          </w:p>
        </w:tc>
        <w:tc>
          <w:tcPr>
            <w:tcW w:w="271" w:type="pct"/>
            <w:vMerge w:val="restart"/>
            <w:noWrap w:val="0"/>
            <w:vAlign w:val="center"/>
          </w:tcPr>
          <w:p w14:paraId="1B8526AF">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亲海环境</w:t>
            </w:r>
          </w:p>
          <w:p w14:paraId="4A73BE2D">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质量状况</w:t>
            </w:r>
          </w:p>
        </w:tc>
        <w:tc>
          <w:tcPr>
            <w:tcW w:w="439" w:type="pct"/>
            <w:noWrap w:val="0"/>
            <w:vAlign w:val="center"/>
          </w:tcPr>
          <w:p w14:paraId="2383ED02">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公众亲海岸线比例</w:t>
            </w:r>
          </w:p>
        </w:tc>
        <w:tc>
          <w:tcPr>
            <w:tcW w:w="1610" w:type="pct"/>
            <w:noWrap w:val="0"/>
            <w:vAlign w:val="center"/>
          </w:tcPr>
          <w:p w14:paraId="1813EF5C">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指标解释：</w:t>
            </w:r>
            <w:r>
              <w:rPr>
                <w:rFonts w:hint="eastAsia" w:ascii="仿宋_GB2312" w:hAnsi="仿宋_GB2312" w:eastAsia="仿宋_GB2312" w:cs="仿宋_GB2312"/>
                <w:color w:val="000000"/>
                <w:kern w:val="0"/>
                <w:sz w:val="21"/>
                <w:szCs w:val="21"/>
              </w:rPr>
              <w:t>指海湾内生态空间优良、适宜开展滨海旅游休闲活动且向社会公众开放的亲海岸线比例。</w:t>
            </w:r>
          </w:p>
          <w:p w14:paraId="3393D2E1">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计算方法：</w:t>
            </w:r>
            <w:r>
              <w:rPr>
                <w:rFonts w:hint="eastAsia" w:ascii="仿宋_GB2312" w:hAnsi="仿宋_GB2312" w:eastAsia="仿宋_GB2312" w:cs="仿宋_GB2312"/>
                <w:color w:val="000000"/>
                <w:kern w:val="0"/>
                <w:sz w:val="21"/>
                <w:szCs w:val="21"/>
              </w:rPr>
              <w:t>公众亲海岸线比例（%）=公众亲海岸线长度÷海湾岸线总长度×100%。</w:t>
            </w:r>
          </w:p>
          <w:p w14:paraId="72A5353D">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数据来源：</w:t>
            </w:r>
            <w:r>
              <w:rPr>
                <w:rFonts w:hint="eastAsia" w:ascii="仿宋_GB2312" w:hAnsi="仿宋_GB2312" w:eastAsia="仿宋_GB2312" w:cs="仿宋_GB2312"/>
                <w:color w:val="000000"/>
                <w:kern w:val="0"/>
                <w:sz w:val="21"/>
                <w:szCs w:val="21"/>
              </w:rPr>
              <w:t>自然资源部门、文化和旅游部门。</w:t>
            </w:r>
          </w:p>
        </w:tc>
        <w:tc>
          <w:tcPr>
            <w:tcW w:w="925" w:type="pct"/>
            <w:noWrap w:val="0"/>
            <w:vAlign w:val="center"/>
          </w:tcPr>
          <w:p w14:paraId="0D2AE741">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在保护好岸线生态功能的基础上，公众亲海岸线比例保持稳定或持续增加。</w:t>
            </w:r>
          </w:p>
        </w:tc>
        <w:tc>
          <w:tcPr>
            <w:tcW w:w="341" w:type="pct"/>
            <w:noWrap w:val="0"/>
            <w:vAlign w:val="center"/>
          </w:tcPr>
          <w:p w14:paraId="3825FB6F">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c>
          <w:tcPr>
            <w:tcW w:w="409" w:type="pct"/>
            <w:noWrap w:val="0"/>
            <w:vAlign w:val="center"/>
          </w:tcPr>
          <w:p w14:paraId="58881FBD">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c>
          <w:tcPr>
            <w:tcW w:w="411" w:type="pct"/>
            <w:noWrap w:val="0"/>
            <w:vAlign w:val="center"/>
          </w:tcPr>
          <w:p w14:paraId="5012CDE4">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必选项</w:t>
            </w:r>
          </w:p>
        </w:tc>
      </w:tr>
      <w:tr w14:paraId="3660C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8" w:hRule="atLeast"/>
        </w:trPr>
        <w:tc>
          <w:tcPr>
            <w:tcW w:w="259" w:type="pct"/>
            <w:tcBorders>
              <w:bottom w:val="single" w:color="auto" w:sz="8" w:space="0"/>
            </w:tcBorders>
            <w:noWrap w:val="0"/>
            <w:vAlign w:val="center"/>
          </w:tcPr>
          <w:p w14:paraId="63385B83">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w:t>
            </w:r>
          </w:p>
        </w:tc>
        <w:tc>
          <w:tcPr>
            <w:tcW w:w="333" w:type="pct"/>
            <w:vMerge w:val="continue"/>
            <w:tcBorders>
              <w:bottom w:val="single" w:color="auto" w:sz="8" w:space="0"/>
            </w:tcBorders>
            <w:noWrap w:val="0"/>
            <w:vAlign w:val="center"/>
          </w:tcPr>
          <w:p w14:paraId="741584A4">
            <w:pPr>
              <w:jc w:val="left"/>
              <w:rPr>
                <w:rFonts w:hint="eastAsia" w:ascii="仿宋_GB2312" w:hAnsi="仿宋_GB2312" w:eastAsia="仿宋_GB2312" w:cs="仿宋_GB2312"/>
                <w:color w:val="000000"/>
                <w:kern w:val="0"/>
                <w:sz w:val="21"/>
                <w:szCs w:val="21"/>
              </w:rPr>
            </w:pPr>
          </w:p>
        </w:tc>
        <w:tc>
          <w:tcPr>
            <w:tcW w:w="271" w:type="pct"/>
            <w:vMerge w:val="continue"/>
            <w:tcBorders>
              <w:bottom w:val="single" w:color="auto" w:sz="8" w:space="0"/>
            </w:tcBorders>
            <w:noWrap w:val="0"/>
            <w:vAlign w:val="center"/>
          </w:tcPr>
          <w:p w14:paraId="0B4E01D1">
            <w:pPr>
              <w:jc w:val="center"/>
              <w:rPr>
                <w:rFonts w:hint="eastAsia" w:ascii="仿宋_GB2312" w:hAnsi="仿宋_GB2312" w:eastAsia="仿宋_GB2312" w:cs="仿宋_GB2312"/>
                <w:color w:val="000000"/>
                <w:kern w:val="0"/>
                <w:sz w:val="21"/>
                <w:szCs w:val="21"/>
              </w:rPr>
            </w:pPr>
          </w:p>
        </w:tc>
        <w:tc>
          <w:tcPr>
            <w:tcW w:w="439" w:type="pct"/>
            <w:tcBorders>
              <w:bottom w:val="single" w:color="auto" w:sz="8" w:space="0"/>
            </w:tcBorders>
            <w:noWrap w:val="0"/>
            <w:vAlign w:val="center"/>
          </w:tcPr>
          <w:p w14:paraId="1C136878">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海水浴场和滨海旅游度假区环境状况</w:t>
            </w:r>
          </w:p>
        </w:tc>
        <w:tc>
          <w:tcPr>
            <w:tcW w:w="1610" w:type="pct"/>
            <w:tcBorders>
              <w:bottom w:val="single" w:color="auto" w:sz="8" w:space="0"/>
            </w:tcBorders>
            <w:noWrap w:val="0"/>
            <w:vAlign w:val="center"/>
          </w:tcPr>
          <w:p w14:paraId="5FEA70F3">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指标解释：</w:t>
            </w:r>
            <w:r>
              <w:rPr>
                <w:rFonts w:hint="eastAsia" w:ascii="仿宋_GB2312" w:hAnsi="仿宋_GB2312" w:eastAsia="仿宋_GB2312" w:cs="仿宋_GB2312"/>
                <w:color w:val="000000"/>
                <w:kern w:val="0"/>
                <w:sz w:val="21"/>
                <w:szCs w:val="21"/>
              </w:rPr>
              <w:t>指海湾内海水浴场和滨海旅游度假区环境状况对于社会公众开展亲海戏水相关活动的适宜程度。</w:t>
            </w:r>
          </w:p>
          <w:p w14:paraId="6EE124F8">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计算方法：</w:t>
            </w:r>
            <w:r>
              <w:rPr>
                <w:rFonts w:hint="eastAsia" w:ascii="仿宋_GB2312" w:hAnsi="仿宋_GB2312" w:eastAsia="仿宋_GB2312" w:cs="仿宋_GB2312"/>
                <w:color w:val="000000"/>
                <w:kern w:val="0"/>
                <w:sz w:val="21"/>
                <w:szCs w:val="21"/>
              </w:rPr>
              <w:t>参照《海水浴场监测与评价指南》（HY/T 0276-2019）和《滨海旅游度假区环境评价指南》（HY/T 127-2010），评价海水浴场和滨海旅游度假区环境状况。</w:t>
            </w:r>
          </w:p>
          <w:p w14:paraId="2F538476">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数据来源：</w:t>
            </w:r>
            <w:r>
              <w:rPr>
                <w:rFonts w:hint="eastAsia" w:ascii="仿宋_GB2312" w:hAnsi="仿宋_GB2312" w:eastAsia="仿宋_GB2312" w:cs="仿宋_GB2312"/>
                <w:color w:val="000000"/>
                <w:kern w:val="0"/>
                <w:sz w:val="21"/>
                <w:szCs w:val="21"/>
              </w:rPr>
              <w:t>生态环境部门。</w:t>
            </w:r>
          </w:p>
        </w:tc>
        <w:tc>
          <w:tcPr>
            <w:tcW w:w="925" w:type="pct"/>
            <w:tcBorders>
              <w:bottom w:val="single" w:color="auto" w:sz="8" w:space="0"/>
            </w:tcBorders>
            <w:noWrap w:val="0"/>
            <w:vAlign w:val="center"/>
          </w:tcPr>
          <w:p w14:paraId="07FB1DDA">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年度海水浴场环境优良天数比例大于90%，滨海旅游度假区环境状况适宜开展亲海活动。</w:t>
            </w:r>
          </w:p>
        </w:tc>
        <w:tc>
          <w:tcPr>
            <w:tcW w:w="341" w:type="pct"/>
            <w:tcBorders>
              <w:bottom w:val="single" w:color="auto" w:sz="8" w:space="0"/>
            </w:tcBorders>
            <w:noWrap w:val="0"/>
            <w:vAlign w:val="center"/>
          </w:tcPr>
          <w:p w14:paraId="1ECA72EF">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c>
          <w:tcPr>
            <w:tcW w:w="409" w:type="pct"/>
            <w:tcBorders>
              <w:bottom w:val="single" w:color="auto" w:sz="8" w:space="0"/>
            </w:tcBorders>
            <w:noWrap w:val="0"/>
            <w:vAlign w:val="center"/>
          </w:tcPr>
          <w:p w14:paraId="68C99377">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c>
          <w:tcPr>
            <w:tcW w:w="411" w:type="pct"/>
            <w:tcBorders>
              <w:bottom w:val="single" w:color="auto" w:sz="8" w:space="0"/>
            </w:tcBorders>
            <w:noWrap w:val="0"/>
            <w:vAlign w:val="center"/>
          </w:tcPr>
          <w:p w14:paraId="56A4B9BF">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必选项</w:t>
            </w:r>
          </w:p>
        </w:tc>
      </w:tr>
      <w:tr w14:paraId="5270F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71" w:hRule="atLeast"/>
        </w:trPr>
        <w:tc>
          <w:tcPr>
            <w:tcW w:w="259" w:type="pct"/>
            <w:tcBorders>
              <w:bottom w:val="single" w:color="auto" w:sz="8" w:space="0"/>
            </w:tcBorders>
            <w:noWrap w:val="0"/>
            <w:vAlign w:val="center"/>
          </w:tcPr>
          <w:p w14:paraId="5D272682">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333" w:type="pct"/>
            <w:vMerge w:val="continue"/>
            <w:tcBorders>
              <w:bottom w:val="single" w:color="auto" w:sz="8" w:space="0"/>
            </w:tcBorders>
            <w:noWrap w:val="0"/>
            <w:vAlign w:val="center"/>
          </w:tcPr>
          <w:p w14:paraId="1B77ACBE">
            <w:pPr>
              <w:jc w:val="left"/>
              <w:rPr>
                <w:rFonts w:hint="eastAsia" w:ascii="仿宋_GB2312" w:hAnsi="仿宋_GB2312" w:eastAsia="仿宋_GB2312" w:cs="仿宋_GB2312"/>
                <w:color w:val="000000"/>
                <w:kern w:val="0"/>
                <w:sz w:val="21"/>
                <w:szCs w:val="21"/>
              </w:rPr>
            </w:pPr>
          </w:p>
        </w:tc>
        <w:tc>
          <w:tcPr>
            <w:tcW w:w="271" w:type="pct"/>
            <w:vMerge w:val="continue"/>
            <w:tcBorders>
              <w:bottom w:val="single" w:color="auto" w:sz="8" w:space="0"/>
            </w:tcBorders>
            <w:noWrap w:val="0"/>
            <w:vAlign w:val="center"/>
          </w:tcPr>
          <w:p w14:paraId="387FB232">
            <w:pPr>
              <w:jc w:val="center"/>
              <w:rPr>
                <w:rFonts w:hint="eastAsia" w:ascii="仿宋_GB2312" w:hAnsi="仿宋_GB2312" w:eastAsia="仿宋_GB2312" w:cs="仿宋_GB2312"/>
                <w:color w:val="000000"/>
                <w:kern w:val="0"/>
                <w:sz w:val="21"/>
                <w:szCs w:val="21"/>
              </w:rPr>
            </w:pPr>
          </w:p>
        </w:tc>
        <w:tc>
          <w:tcPr>
            <w:tcW w:w="439" w:type="pct"/>
            <w:tcBorders>
              <w:bottom w:val="single" w:color="auto" w:sz="8" w:space="0"/>
            </w:tcBorders>
            <w:noWrap w:val="0"/>
            <w:vAlign w:val="center"/>
          </w:tcPr>
          <w:p w14:paraId="16C16FAD">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亲海空间建设情况</w:t>
            </w:r>
          </w:p>
        </w:tc>
        <w:tc>
          <w:tcPr>
            <w:tcW w:w="1610" w:type="pct"/>
            <w:tcBorders>
              <w:bottom w:val="single" w:color="auto" w:sz="8" w:space="0"/>
            </w:tcBorders>
            <w:noWrap w:val="0"/>
            <w:vAlign w:val="center"/>
          </w:tcPr>
          <w:p w14:paraId="36DD95B3">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指标解释：</w:t>
            </w:r>
            <w:r>
              <w:rPr>
                <w:rFonts w:hint="eastAsia" w:ascii="仿宋_GB2312" w:hAnsi="仿宋_GB2312" w:eastAsia="仿宋_GB2312" w:cs="仿宋_GB2312"/>
                <w:color w:val="000000"/>
                <w:kern w:val="0"/>
                <w:sz w:val="21"/>
                <w:szCs w:val="21"/>
              </w:rPr>
              <w:t>指海湾内或临近陆域范围内建设的亲海空间数量，包括滨海湿地公园、海洋公园、地质公园、海滩、旅游区、具备滨海游憩功能的保护地。</w:t>
            </w:r>
          </w:p>
          <w:p w14:paraId="72C572FE">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计算方法：</w:t>
            </w:r>
            <w:r>
              <w:rPr>
                <w:rFonts w:hint="eastAsia" w:ascii="仿宋_GB2312" w:hAnsi="仿宋_GB2312" w:eastAsia="仿宋_GB2312" w:cs="仿宋_GB2312"/>
                <w:color w:val="000000"/>
                <w:kern w:val="0"/>
                <w:sz w:val="21"/>
                <w:szCs w:val="21"/>
              </w:rPr>
              <w:t>计算海湾内或临近陆域范围内建设的滨海湿地公园、海洋公园、地质公园、海滩、旅游区、具备滨海游憩功能的保护地的数量。</w:t>
            </w:r>
          </w:p>
          <w:p w14:paraId="3A574DA1">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数据来源：</w:t>
            </w:r>
            <w:r>
              <w:rPr>
                <w:rFonts w:hint="eastAsia" w:ascii="仿宋_GB2312" w:hAnsi="仿宋_GB2312" w:eastAsia="仿宋_GB2312" w:cs="仿宋_GB2312"/>
                <w:color w:val="000000"/>
                <w:kern w:val="0"/>
                <w:sz w:val="21"/>
                <w:szCs w:val="21"/>
              </w:rPr>
              <w:t>文化旅游部门、生态环境部门</w:t>
            </w:r>
          </w:p>
        </w:tc>
        <w:tc>
          <w:tcPr>
            <w:tcW w:w="925" w:type="pct"/>
            <w:tcBorders>
              <w:bottom w:val="single" w:color="auto" w:sz="8" w:space="0"/>
            </w:tcBorders>
            <w:noWrap w:val="0"/>
            <w:vAlign w:val="center"/>
          </w:tcPr>
          <w:p w14:paraId="56512192">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亲海休闲型“美丽海湾”建设不少于3处亲海空间，其它类型“美丽海湾”不做要求。</w:t>
            </w:r>
          </w:p>
        </w:tc>
        <w:tc>
          <w:tcPr>
            <w:tcW w:w="341" w:type="pct"/>
            <w:tcBorders>
              <w:bottom w:val="single" w:color="auto" w:sz="8" w:space="0"/>
            </w:tcBorders>
            <w:noWrap w:val="0"/>
            <w:vAlign w:val="center"/>
          </w:tcPr>
          <w:p w14:paraId="22D8A0CC">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409" w:type="pct"/>
            <w:tcBorders>
              <w:bottom w:val="single" w:color="auto" w:sz="8" w:space="0"/>
            </w:tcBorders>
            <w:noWrap w:val="0"/>
            <w:vAlign w:val="center"/>
          </w:tcPr>
          <w:p w14:paraId="2A05CCF4">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411" w:type="pct"/>
            <w:tcBorders>
              <w:bottom w:val="single" w:color="auto" w:sz="8" w:space="0"/>
            </w:tcBorders>
            <w:noWrap w:val="0"/>
            <w:vAlign w:val="center"/>
          </w:tcPr>
          <w:p w14:paraId="43A4C25F">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可选项</w:t>
            </w:r>
          </w:p>
        </w:tc>
      </w:tr>
      <w:tr w14:paraId="69C57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3" w:hRule="atLeast"/>
        </w:trPr>
        <w:tc>
          <w:tcPr>
            <w:tcW w:w="259" w:type="pct"/>
            <w:noWrap w:val="0"/>
            <w:vAlign w:val="center"/>
          </w:tcPr>
          <w:p w14:paraId="3B8FE94E">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w:t>
            </w:r>
          </w:p>
        </w:tc>
        <w:tc>
          <w:tcPr>
            <w:tcW w:w="333" w:type="pct"/>
            <w:vMerge w:val="continue"/>
            <w:noWrap w:val="0"/>
            <w:vAlign w:val="center"/>
          </w:tcPr>
          <w:p w14:paraId="1236A242">
            <w:pPr>
              <w:jc w:val="left"/>
              <w:rPr>
                <w:rFonts w:hint="eastAsia" w:ascii="仿宋_GB2312" w:hAnsi="仿宋_GB2312" w:eastAsia="仿宋_GB2312" w:cs="仿宋_GB2312"/>
                <w:color w:val="000000"/>
                <w:kern w:val="0"/>
                <w:sz w:val="21"/>
                <w:szCs w:val="21"/>
              </w:rPr>
            </w:pPr>
          </w:p>
        </w:tc>
        <w:tc>
          <w:tcPr>
            <w:tcW w:w="271" w:type="pct"/>
            <w:noWrap w:val="0"/>
            <w:vAlign w:val="center"/>
          </w:tcPr>
          <w:p w14:paraId="02DD432C">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群众</w:t>
            </w:r>
          </w:p>
          <w:p w14:paraId="6819BB65">
            <w:pPr>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获得感</w:t>
            </w:r>
          </w:p>
        </w:tc>
        <w:tc>
          <w:tcPr>
            <w:tcW w:w="439" w:type="pct"/>
            <w:noWrap w:val="0"/>
            <w:vAlign w:val="center"/>
          </w:tcPr>
          <w:p w14:paraId="4719B00E">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美丽海湾建设的公众满意度</w:t>
            </w:r>
          </w:p>
        </w:tc>
        <w:tc>
          <w:tcPr>
            <w:tcW w:w="1610" w:type="pct"/>
            <w:noWrap w:val="0"/>
            <w:vAlign w:val="center"/>
          </w:tcPr>
          <w:p w14:paraId="531A31A7">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指标解释：</w:t>
            </w:r>
            <w:r>
              <w:rPr>
                <w:rFonts w:hint="eastAsia" w:ascii="仿宋_GB2312" w:hAnsi="仿宋_GB2312" w:eastAsia="仿宋_GB2312" w:cs="仿宋_GB2312"/>
                <w:color w:val="000000"/>
                <w:kern w:val="0"/>
                <w:sz w:val="21"/>
                <w:szCs w:val="21"/>
              </w:rPr>
              <w:t>指公众对美丽海湾建设成效的满意程度。</w:t>
            </w:r>
          </w:p>
          <w:p w14:paraId="34AC8E5C">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计算方法：</w:t>
            </w:r>
            <w:r>
              <w:rPr>
                <w:rFonts w:hint="eastAsia" w:ascii="仿宋_GB2312" w:hAnsi="仿宋_GB2312" w:eastAsia="仿宋_GB2312" w:cs="仿宋_GB2312"/>
                <w:color w:val="000000"/>
                <w:kern w:val="0"/>
                <w:sz w:val="21"/>
                <w:szCs w:val="21"/>
              </w:rPr>
              <w:t>通过问卷抽样调查和舆情分析了解公众对美丽海湾建设成效的满意程度。</w:t>
            </w:r>
          </w:p>
          <w:p w14:paraId="6612587E">
            <w:pP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数据来源：</w:t>
            </w:r>
            <w:r>
              <w:rPr>
                <w:rFonts w:hint="eastAsia" w:ascii="仿宋_GB2312" w:hAnsi="仿宋_GB2312" w:eastAsia="仿宋_GB2312" w:cs="仿宋_GB2312"/>
                <w:b w:val="0"/>
                <w:bCs w:val="0"/>
                <w:color w:val="000000"/>
                <w:kern w:val="0"/>
                <w:sz w:val="21"/>
                <w:szCs w:val="21"/>
                <w:lang w:eastAsia="zh-CN"/>
              </w:rPr>
              <w:t>由属地县级人民政府组织</w:t>
            </w:r>
            <w:r>
              <w:rPr>
                <w:rFonts w:hint="eastAsia" w:ascii="仿宋_GB2312" w:hAnsi="仿宋_GB2312" w:eastAsia="仿宋_GB2312" w:cs="仿宋_GB2312"/>
                <w:color w:val="000000"/>
                <w:kern w:val="0"/>
                <w:sz w:val="21"/>
                <w:szCs w:val="21"/>
              </w:rPr>
              <w:t>第三方调查。</w:t>
            </w:r>
          </w:p>
        </w:tc>
        <w:tc>
          <w:tcPr>
            <w:tcW w:w="925" w:type="pct"/>
            <w:noWrap w:val="0"/>
            <w:vAlign w:val="center"/>
          </w:tcPr>
          <w:p w14:paraId="37369A06">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公众满意度大于95%，且无被核实的负面舆情。</w:t>
            </w:r>
          </w:p>
        </w:tc>
        <w:tc>
          <w:tcPr>
            <w:tcW w:w="1161" w:type="pct"/>
            <w:gridSpan w:val="3"/>
            <w:noWrap w:val="0"/>
            <w:vAlign w:val="center"/>
          </w:tcPr>
          <w:p w14:paraId="501A124E">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基础项</w:t>
            </w:r>
          </w:p>
        </w:tc>
      </w:tr>
    </w:tbl>
    <w:p w14:paraId="088D694F">
      <w:pPr>
        <w:spacing w:line="360" w:lineRule="auto"/>
        <w:ind w:left="1050" w:leftChars="200" w:hanging="630" w:hangingChars="300"/>
        <w:rPr>
          <w:rFonts w:hint="eastAsia" w:ascii="楷体_GB2312" w:hAnsi="楷体_GB2312" w:eastAsia="楷体_GB2312" w:cs="楷体_GB2312"/>
          <w:szCs w:val="21"/>
          <w:lang w:eastAsia="zh-CN"/>
        </w:rPr>
      </w:pPr>
      <w:r>
        <w:rPr>
          <w:rFonts w:hint="eastAsia" w:ascii="楷体_GB2312" w:hAnsi="楷体_GB2312" w:eastAsia="楷体_GB2312" w:cs="楷体_GB2312"/>
          <w:szCs w:val="21"/>
        </w:rPr>
        <w:t>注：1.根据各海湾自然禀赋和数据可获得性等，表中如个别指标未有涉及，可出具说明材料明确</w:t>
      </w:r>
      <w:r>
        <w:rPr>
          <w:rFonts w:hint="eastAsia" w:ascii="楷体_GB2312" w:hAnsi="楷体_GB2312" w:eastAsia="楷体_GB2312" w:cs="楷体_GB2312"/>
          <w:szCs w:val="21"/>
          <w:lang w:val="en-US" w:eastAsia="zh-CN"/>
        </w:rPr>
        <w:t xml:space="preserve"> </w:t>
      </w:r>
      <w:r>
        <w:rPr>
          <w:rFonts w:hint="eastAsia" w:ascii="楷体_GB2312" w:hAnsi="楷体_GB2312" w:eastAsia="楷体_GB2312" w:cs="楷体_GB2312"/>
          <w:szCs w:val="21"/>
        </w:rPr>
        <w:t>该项指标不纳入建设内容</w:t>
      </w:r>
      <w:r>
        <w:rPr>
          <w:rFonts w:hint="eastAsia" w:ascii="楷体_GB2312" w:hAnsi="楷体_GB2312" w:eastAsia="楷体_GB2312" w:cs="楷体_GB2312"/>
          <w:szCs w:val="21"/>
          <w:lang w:eastAsia="zh-CN"/>
        </w:rPr>
        <w:t>。</w:t>
      </w:r>
    </w:p>
    <w:p w14:paraId="20AA13E9">
      <w:pPr>
        <w:numPr>
          <w:ilvl w:val="0"/>
          <w:numId w:val="0"/>
        </w:numPr>
        <w:spacing w:line="360" w:lineRule="auto"/>
        <w:ind w:firstLine="840" w:firstLineChars="400"/>
        <w:rPr>
          <w:rFonts w:hint="eastAsia" w:ascii="楷体_GB2312" w:hAnsi="楷体_GB2312" w:eastAsia="楷体_GB2312" w:cs="楷体_GB2312"/>
          <w:szCs w:val="21"/>
        </w:rPr>
      </w:pPr>
      <w:r>
        <w:rPr>
          <w:rFonts w:hint="eastAsia" w:ascii="楷体_GB2312" w:hAnsi="楷体_GB2312" w:eastAsia="楷体_GB2312" w:cs="楷体_GB2312"/>
          <w:szCs w:val="21"/>
          <w:lang w:val="en-US" w:eastAsia="zh-CN"/>
        </w:rPr>
        <w:t>2.</w:t>
      </w:r>
      <w:r>
        <w:rPr>
          <w:rFonts w:hint="eastAsia" w:ascii="楷体_GB2312" w:hAnsi="楷体_GB2312" w:eastAsia="楷体_GB2312" w:cs="楷体_GB2312"/>
          <w:szCs w:val="21"/>
        </w:rPr>
        <w:t>按照“因地制宜、各美其美”的原则，鼓励各海湾（湾区）设立特色指标。</w:t>
      </w:r>
    </w:p>
    <w:p w14:paraId="1B976542">
      <w:pPr>
        <w:ind w:firstLine="848" w:firstLineChars="404"/>
        <w:rPr>
          <w:rFonts w:hint="eastAsia" w:ascii="楷体_GB2312" w:hAnsi="楷体_GB2312" w:eastAsia="楷体_GB2312" w:cs="楷体_GB2312"/>
          <w:szCs w:val="21"/>
        </w:rPr>
        <w:sectPr>
          <w:pgSz w:w="16838" w:h="11906" w:orient="landscape"/>
          <w:pgMar w:top="1800" w:right="1440" w:bottom="1800" w:left="1440" w:header="851" w:footer="992" w:gutter="0"/>
          <w:cols w:space="425" w:num="1"/>
          <w:docGrid w:type="lines" w:linePitch="312" w:charSpace="0"/>
        </w:sectPr>
      </w:pPr>
      <w:r>
        <w:rPr>
          <w:rFonts w:hint="eastAsia" w:ascii="楷体_GB2312" w:hAnsi="楷体_GB2312" w:eastAsia="楷体_GB2312" w:cs="楷体_GB2312"/>
          <w:szCs w:val="21"/>
          <w:lang w:val="en-US" w:eastAsia="zh-CN"/>
        </w:rPr>
        <w:t>3.</w:t>
      </w:r>
      <w:r>
        <w:rPr>
          <w:rFonts w:hint="eastAsia" w:ascii="楷体_GB2312" w:hAnsi="楷体_GB2312" w:eastAsia="楷体_GB2312" w:cs="楷体_GB2312"/>
          <w:szCs w:val="21"/>
        </w:rPr>
        <w:t>指标评估数据选取“美丽海湾”所在区域申报前一年的生态环境数据进行评估。</w:t>
      </w:r>
    </w:p>
    <w:p w14:paraId="4FF792F6">
      <w:pPr>
        <w:jc w:val="both"/>
        <w:rPr>
          <w:rFonts w:hint="eastAsia" w:ascii="黑体" w:hAnsi="黑体" w:eastAsia="黑体" w:cs="黑体"/>
          <w:b w:val="0"/>
          <w:bCs/>
          <w:sz w:val="36"/>
          <w:szCs w:val="36"/>
          <w:shd w:val="clear" w:color="auto" w:fill="auto"/>
        </w:rPr>
      </w:pPr>
      <w:r>
        <w:rPr>
          <w:rFonts w:hint="eastAsia" w:ascii="黑体" w:hAnsi="黑体" w:eastAsia="黑体" w:cs="黑体"/>
          <w:b w:val="0"/>
          <w:bCs/>
          <w:sz w:val="32"/>
          <w:szCs w:val="32"/>
          <w:shd w:val="clear" w:color="auto" w:fill="auto"/>
          <w:lang w:eastAsia="zh-CN"/>
        </w:rPr>
        <w:t>附件</w:t>
      </w:r>
      <w:r>
        <w:rPr>
          <w:rFonts w:hint="eastAsia" w:ascii="黑体" w:hAnsi="黑体" w:eastAsia="黑体" w:cs="黑体"/>
          <w:b w:val="0"/>
          <w:bCs/>
          <w:sz w:val="32"/>
          <w:szCs w:val="32"/>
          <w:shd w:val="clear" w:color="auto" w:fill="auto"/>
          <w:lang w:val="en-US" w:eastAsia="zh-CN"/>
        </w:rPr>
        <w:t>3</w:t>
      </w:r>
      <w:r>
        <w:rPr>
          <w:rFonts w:hint="eastAsia" w:ascii="黑体" w:hAnsi="黑体" w:eastAsia="黑体" w:cs="黑体"/>
          <w:b w:val="0"/>
          <w:bCs/>
          <w:sz w:val="32"/>
          <w:szCs w:val="32"/>
          <w:shd w:val="clear" w:color="auto" w:fill="auto"/>
          <w:lang w:eastAsia="zh-CN"/>
        </w:rPr>
        <w:t>：</w:t>
      </w:r>
    </w:p>
    <w:p w14:paraId="683ECD92">
      <w:pPr>
        <w:jc w:val="center"/>
        <w:rPr>
          <w:rFonts w:hint="eastAsia" w:ascii="黑体" w:hAnsi="黑体" w:eastAsia="黑体" w:cs="黑体"/>
          <w:b w:val="0"/>
          <w:bCs/>
          <w:sz w:val="36"/>
          <w:szCs w:val="36"/>
          <w:shd w:val="clear" w:color="auto" w:fill="auto"/>
        </w:rPr>
      </w:pPr>
    </w:p>
    <w:p w14:paraId="3B6391D7">
      <w:pPr>
        <w:jc w:val="center"/>
        <w:rPr>
          <w:rFonts w:hint="eastAsia" w:ascii="仿宋" w:hAnsi="仿宋" w:eastAsia="仿宋" w:cs="仿宋"/>
          <w:sz w:val="32"/>
          <w:szCs w:val="32"/>
          <w:shd w:val="clear" w:color="auto" w:fill="auto"/>
        </w:rPr>
      </w:pPr>
      <w:r>
        <w:rPr>
          <w:rFonts w:hint="eastAsia" w:ascii="黑体" w:hAnsi="黑体" w:eastAsia="黑体" w:cs="黑体"/>
          <w:b w:val="0"/>
          <w:bCs/>
          <w:sz w:val="36"/>
          <w:szCs w:val="36"/>
          <w:shd w:val="clear" w:color="auto" w:fill="auto"/>
        </w:rPr>
        <w:t>询价供应商报价函</w:t>
      </w:r>
    </w:p>
    <w:p w14:paraId="250D6A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shd w:val="clear" w:color="auto" w:fill="auto"/>
        </w:rPr>
      </w:pPr>
    </w:p>
    <w:p w14:paraId="25BE22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致</w:t>
      </w:r>
      <w:r>
        <w:rPr>
          <w:rFonts w:hint="eastAsia" w:ascii="仿宋" w:hAnsi="仿宋" w:eastAsia="仿宋" w:cs="仿宋"/>
          <w:sz w:val="32"/>
          <w:szCs w:val="32"/>
          <w:shd w:val="clear" w:color="auto" w:fill="auto"/>
          <w:lang w:eastAsia="zh-CN"/>
        </w:rPr>
        <w:t>福州市连江生态环境局</w:t>
      </w:r>
      <w:r>
        <w:rPr>
          <w:rFonts w:hint="eastAsia" w:ascii="仿宋" w:hAnsi="仿宋" w:eastAsia="仿宋" w:cs="仿宋"/>
          <w:sz w:val="32"/>
          <w:szCs w:val="32"/>
          <w:shd w:val="clear" w:color="auto" w:fill="auto"/>
        </w:rPr>
        <w:t>：</w:t>
      </w:r>
    </w:p>
    <w:p w14:paraId="5C1334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xml:space="preserve">    关于</w:t>
      </w:r>
      <w:r>
        <w:rPr>
          <w:rFonts w:hint="eastAsia" w:ascii="仿宋" w:hAnsi="仿宋" w:eastAsia="仿宋" w:cs="仿宋"/>
          <w:kern w:val="2"/>
          <w:sz w:val="32"/>
          <w:szCs w:val="32"/>
          <w:shd w:val="clear" w:color="auto" w:fill="auto"/>
          <w:lang w:val="en-US" w:eastAsia="zh-CN" w:bidi="ar-SA"/>
        </w:rPr>
        <w:t>连江县美丽海湾优秀案例项目</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我们已认真阅读了贵单位发布的询价公告，决定参加报价。</w:t>
      </w:r>
    </w:p>
    <w:p w14:paraId="5D4AF7F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shd w:val="clear" w:color="auto" w:fill="auto"/>
        </w:rPr>
      </w:pPr>
      <w:r>
        <w:rPr>
          <w:rFonts w:hint="eastAsia" w:ascii="黑体" w:hAnsi="黑体" w:eastAsia="黑体" w:cs="黑体"/>
          <w:b w:val="0"/>
          <w:bCs/>
          <w:sz w:val="32"/>
          <w:szCs w:val="32"/>
          <w:shd w:val="clear" w:color="auto" w:fill="auto"/>
        </w:rPr>
        <w:t>一、报价</w:t>
      </w:r>
    </w:p>
    <w:p w14:paraId="254D3E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ascii="仿宋" w:hAnsi="仿宋" w:eastAsia="仿宋" w:cs="仿宋"/>
          <w:sz w:val="32"/>
          <w:szCs w:val="32"/>
          <w:shd w:val="clear" w:color="auto" w:fill="auto"/>
        </w:rPr>
        <w:t>在研究了</w:t>
      </w:r>
      <w:r>
        <w:rPr>
          <w:rFonts w:hint="eastAsia" w:ascii="仿宋" w:hAnsi="仿宋" w:eastAsia="仿宋" w:cs="仿宋"/>
          <w:kern w:val="2"/>
          <w:sz w:val="32"/>
          <w:szCs w:val="32"/>
          <w:shd w:val="clear" w:color="auto" w:fill="auto"/>
          <w:lang w:val="en-US" w:eastAsia="zh-CN" w:bidi="ar-SA"/>
        </w:rPr>
        <w:t>连江县美丽海湾优秀案例项目</w:t>
      </w:r>
      <w:r>
        <w:rPr>
          <w:rFonts w:hint="eastAsia" w:ascii="仿宋" w:hAnsi="仿宋" w:eastAsia="仿宋" w:cs="仿宋"/>
          <w:sz w:val="32"/>
          <w:szCs w:val="32"/>
          <w:shd w:val="clear" w:color="auto" w:fill="auto"/>
        </w:rPr>
        <w:t>询价公告后，我们愿意按人民币（大写</w:t>
      </w:r>
      <w:r>
        <w:rPr>
          <w:rFonts w:hint="eastAsia" w:ascii="仿宋" w:hAnsi="仿宋" w:eastAsia="仿宋" w:cs="仿宋"/>
          <w:sz w:val="32"/>
          <w:szCs w:val="32"/>
          <w:u w:val="single"/>
          <w:shd w:val="clear" w:color="auto" w:fill="auto"/>
        </w:rPr>
        <w:t xml:space="preserve">        </w:t>
      </w:r>
      <w:r>
        <w:rPr>
          <w:rFonts w:hint="eastAsia" w:ascii="仿宋" w:hAnsi="仿宋" w:eastAsia="仿宋" w:cs="仿宋"/>
          <w:sz w:val="32"/>
          <w:szCs w:val="32"/>
          <w:u w:val="single"/>
          <w:shd w:val="clear" w:color="auto" w:fill="auto"/>
          <w:lang w:val="en-US" w:eastAsia="zh-CN"/>
        </w:rPr>
        <w:t xml:space="preserve"> </w:t>
      </w:r>
      <w:r>
        <w:rPr>
          <w:rFonts w:hint="eastAsia" w:ascii="仿宋" w:hAnsi="仿宋" w:eastAsia="仿宋" w:cs="仿宋"/>
          <w:sz w:val="32"/>
          <w:szCs w:val="32"/>
          <w:u w:val="single"/>
          <w:shd w:val="clear" w:color="auto" w:fill="auto"/>
        </w:rPr>
        <w:t xml:space="preserve">     </w:t>
      </w:r>
      <w:r>
        <w:rPr>
          <w:rFonts w:hint="eastAsia" w:ascii="仿宋" w:hAnsi="仿宋" w:eastAsia="仿宋" w:cs="仿宋"/>
          <w:sz w:val="32"/>
          <w:szCs w:val="32"/>
          <w:shd w:val="clear" w:color="auto" w:fill="auto"/>
        </w:rPr>
        <w:t>）（小写</w:t>
      </w:r>
      <w:r>
        <w:rPr>
          <w:rFonts w:hint="eastAsia" w:ascii="仿宋" w:hAnsi="仿宋" w:eastAsia="仿宋" w:cs="仿宋"/>
          <w:sz w:val="32"/>
          <w:szCs w:val="32"/>
          <w:u w:val="single"/>
          <w:shd w:val="clear" w:color="auto" w:fill="auto"/>
        </w:rPr>
        <w:t xml:space="preserve">      </w:t>
      </w:r>
      <w:r>
        <w:rPr>
          <w:rFonts w:hint="eastAsia" w:ascii="仿宋" w:hAnsi="仿宋" w:eastAsia="仿宋" w:cs="仿宋"/>
          <w:sz w:val="32"/>
          <w:szCs w:val="32"/>
          <w:u w:val="single"/>
          <w:shd w:val="clear" w:color="auto" w:fill="auto"/>
          <w:lang w:val="en-US" w:eastAsia="zh-CN"/>
        </w:rPr>
        <w:t xml:space="preserve">   </w:t>
      </w:r>
      <w:r>
        <w:rPr>
          <w:rFonts w:hint="eastAsia" w:ascii="仿宋" w:hAnsi="仿宋" w:eastAsia="仿宋" w:cs="仿宋"/>
          <w:sz w:val="32"/>
          <w:szCs w:val="32"/>
          <w:u w:val="single"/>
          <w:shd w:val="clear" w:color="auto" w:fill="auto"/>
        </w:rPr>
        <w:t xml:space="preserve">      </w:t>
      </w:r>
      <w:r>
        <w:rPr>
          <w:rFonts w:hint="eastAsia" w:ascii="仿宋" w:hAnsi="仿宋" w:eastAsia="仿宋" w:cs="仿宋"/>
          <w:sz w:val="32"/>
          <w:szCs w:val="32"/>
          <w:shd w:val="clear" w:color="auto" w:fill="auto"/>
        </w:rPr>
        <w:t>）的总价，遵照询价公告的要求承担本询价项目的实施，完成本次询价范围的全部项目内容。</w:t>
      </w:r>
    </w:p>
    <w:p w14:paraId="4148132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shd w:val="clear" w:color="auto" w:fill="auto"/>
        </w:rPr>
      </w:pPr>
      <w:r>
        <w:rPr>
          <w:rFonts w:hint="eastAsia" w:ascii="黑体" w:hAnsi="黑体" w:eastAsia="黑体" w:cs="黑体"/>
          <w:b w:val="0"/>
          <w:bCs/>
          <w:sz w:val="32"/>
          <w:szCs w:val="32"/>
          <w:shd w:val="clear" w:color="auto" w:fill="auto"/>
        </w:rPr>
        <w:t>有关证明材料</w:t>
      </w:r>
    </w:p>
    <w:p w14:paraId="48A629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rPr>
        <w:t>营业执照副本、组织机构证书、税务登记证</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相关认证证书</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lang w:val="en-US" w:eastAsia="zh-CN"/>
        </w:rPr>
        <w:t>缴纳社保的证明材料</w:t>
      </w:r>
      <w:r>
        <w:rPr>
          <w:rFonts w:hint="eastAsia" w:ascii="仿宋" w:hAnsi="仿宋" w:eastAsia="仿宋" w:cs="仿宋"/>
          <w:sz w:val="32"/>
          <w:szCs w:val="32"/>
          <w:shd w:val="clear" w:color="auto" w:fill="auto"/>
        </w:rPr>
        <w:t>等</w:t>
      </w:r>
      <w:r>
        <w:rPr>
          <w:rFonts w:hint="eastAsia" w:ascii="仿宋" w:hAnsi="仿宋" w:eastAsia="仿宋" w:cs="仿宋"/>
          <w:sz w:val="32"/>
          <w:szCs w:val="32"/>
          <w:shd w:val="clear" w:color="auto" w:fill="auto"/>
          <w:lang w:eastAsia="zh-CN"/>
        </w:rPr>
        <w:t>复印件，复印件须加盖公章。</w:t>
      </w:r>
    </w:p>
    <w:p w14:paraId="1F9B92C8">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黑体" w:hAnsi="黑体" w:eastAsia="黑体" w:cs="黑体"/>
          <w:b w:val="0"/>
          <w:bCs/>
          <w:sz w:val="32"/>
          <w:szCs w:val="32"/>
          <w:shd w:val="clear" w:color="auto" w:fill="auto"/>
        </w:rPr>
      </w:pPr>
      <w:r>
        <w:rPr>
          <w:rFonts w:hint="eastAsia" w:ascii="黑体" w:hAnsi="黑体" w:eastAsia="黑体" w:cs="黑体"/>
          <w:b w:val="0"/>
          <w:bCs/>
          <w:sz w:val="32"/>
          <w:szCs w:val="32"/>
          <w:shd w:val="clear" w:color="auto" w:fill="auto"/>
        </w:rPr>
        <w:t>三、联系方式</w:t>
      </w:r>
    </w:p>
    <w:p w14:paraId="725150F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xml:space="preserve">联系人： </w:t>
      </w:r>
    </w:p>
    <w:p w14:paraId="0D7D763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电话：</w:t>
      </w:r>
    </w:p>
    <w:p w14:paraId="76E4161C">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地址：</w:t>
      </w:r>
    </w:p>
    <w:p w14:paraId="1251BC6C">
      <w:pPr>
        <w:keepNext w:val="0"/>
        <w:keepLines w:val="0"/>
        <w:pageBreakBefore w:val="0"/>
        <w:kinsoku/>
        <w:overflowPunct/>
        <w:topLinePunct w:val="0"/>
        <w:autoSpaceDE/>
        <w:autoSpaceDN/>
        <w:bidi w:val="0"/>
        <w:adjustRightInd/>
        <w:spacing w:line="240" w:lineRule="auto"/>
        <w:ind w:firstLine="4480" w:firstLineChars="14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单位名称（盖章）：</w:t>
      </w:r>
    </w:p>
    <w:p w14:paraId="00064F72">
      <w:pPr>
        <w:keepNext w:val="0"/>
        <w:keepLines w:val="0"/>
        <w:pageBreakBefore w:val="0"/>
        <w:kinsoku/>
        <w:overflowPunct/>
        <w:topLinePunct w:val="0"/>
        <w:autoSpaceDE/>
        <w:autoSpaceDN/>
        <w:bidi w:val="0"/>
        <w:adjustRightInd/>
        <w:spacing w:line="240" w:lineRule="auto"/>
        <w:textAlignment w:val="auto"/>
        <w:rPr>
          <w:rFonts w:hint="eastAsia" w:ascii="仿宋" w:hAnsi="仿宋" w:eastAsia="仿宋" w:cs="仿宋"/>
          <w:sz w:val="32"/>
          <w:szCs w:val="32"/>
        </w:rPr>
      </w:pPr>
      <w:r>
        <w:rPr>
          <w:rFonts w:hint="eastAsia" w:ascii="仿宋" w:hAnsi="仿宋" w:eastAsia="仿宋" w:cs="仿宋"/>
          <w:sz w:val="32"/>
          <w:szCs w:val="32"/>
          <w:shd w:val="clear" w:color="auto" w:fill="auto"/>
        </w:rPr>
        <w:t xml:space="preserve">                           </w:t>
      </w:r>
      <w:r>
        <w:rPr>
          <w:rFonts w:hint="eastAsia" w:ascii="仿宋" w:hAnsi="仿宋" w:eastAsia="仿宋" w:cs="仿宋"/>
          <w:sz w:val="32"/>
          <w:szCs w:val="32"/>
          <w:shd w:val="clear" w:color="auto" w:fill="auto"/>
          <w:lang w:val="en-US" w:eastAsia="zh-CN"/>
        </w:rPr>
        <w:t xml:space="preserve">      </w:t>
      </w:r>
      <w:r>
        <w:rPr>
          <w:rFonts w:hint="eastAsia" w:ascii="仿宋" w:hAnsi="仿宋" w:eastAsia="仿宋" w:cs="仿宋"/>
          <w:sz w:val="32"/>
          <w:szCs w:val="32"/>
          <w:shd w:val="clear" w:color="auto" w:fill="auto"/>
        </w:rPr>
        <w:t>年   月   日</w:t>
      </w:r>
    </w:p>
    <w:p w14:paraId="217334F7">
      <w:pPr>
        <w:rPr>
          <w:rFonts w:hint="eastAsia"/>
        </w:rPr>
      </w:pPr>
    </w:p>
    <w:p w14:paraId="5AB6820A">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BA416"/>
    <w:multiLevelType w:val="singleLevel"/>
    <w:tmpl w:val="163BA4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M2FmYmNiN2Y0NjFjYTg2MGU2MWU4MTJiODMxNzYifQ=="/>
    <w:docVar w:name="KSO_WPS_MARK_KEY" w:val="dd14e681-d92c-4e67-a36d-d29392107c68"/>
  </w:docVars>
  <w:rsids>
    <w:rsidRoot w:val="28B248A4"/>
    <w:rsid w:val="02156CDE"/>
    <w:rsid w:val="06D21302"/>
    <w:rsid w:val="0AB2015C"/>
    <w:rsid w:val="0BFF7FE3"/>
    <w:rsid w:val="10B95885"/>
    <w:rsid w:val="10C64A93"/>
    <w:rsid w:val="13BC5DB8"/>
    <w:rsid w:val="1707539F"/>
    <w:rsid w:val="1EC408D4"/>
    <w:rsid w:val="1F3E2E46"/>
    <w:rsid w:val="22D474EA"/>
    <w:rsid w:val="24C83855"/>
    <w:rsid w:val="28B248A4"/>
    <w:rsid w:val="2E5C1B2C"/>
    <w:rsid w:val="2E7E481A"/>
    <w:rsid w:val="31610AB1"/>
    <w:rsid w:val="33BC72B7"/>
    <w:rsid w:val="33EF628A"/>
    <w:rsid w:val="35F9446B"/>
    <w:rsid w:val="37BC2EBF"/>
    <w:rsid w:val="3AB03962"/>
    <w:rsid w:val="3B337DD5"/>
    <w:rsid w:val="3CD93F60"/>
    <w:rsid w:val="3CE716BC"/>
    <w:rsid w:val="3FA85719"/>
    <w:rsid w:val="43AE7E4E"/>
    <w:rsid w:val="43C006FD"/>
    <w:rsid w:val="4402046D"/>
    <w:rsid w:val="46D2335D"/>
    <w:rsid w:val="482F3D6F"/>
    <w:rsid w:val="4BA10698"/>
    <w:rsid w:val="4C3103EA"/>
    <w:rsid w:val="4E676345"/>
    <w:rsid w:val="507C0917"/>
    <w:rsid w:val="52181704"/>
    <w:rsid w:val="53731C2D"/>
    <w:rsid w:val="56697163"/>
    <w:rsid w:val="5A995D08"/>
    <w:rsid w:val="675A59D8"/>
    <w:rsid w:val="67EE0AE5"/>
    <w:rsid w:val="70965FE1"/>
    <w:rsid w:val="71B63DEE"/>
    <w:rsid w:val="72DC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unhideWhenUsed/>
    <w:qFormat/>
    <w:uiPriority w:val="99"/>
    <w:rPr>
      <w:sz w:val="18"/>
      <w:szCs w:val="18"/>
    </w:rPr>
  </w:style>
  <w:style w:type="paragraph" w:styleId="3">
    <w:name w:val="footer"/>
    <w:basedOn w:val="1"/>
    <w:qFormat/>
    <w:uiPriority w:val="0"/>
    <w:pPr>
      <w:snapToGrid w:val="0"/>
      <w:jc w:val="left"/>
    </w:pPr>
    <w:rPr>
      <w:sz w:val="18"/>
      <w:szCs w:val="18"/>
    </w:rPr>
  </w:style>
  <w:style w:type="paragraph" w:styleId="5">
    <w:name w:val="Body Text"/>
    <w:basedOn w:val="1"/>
    <w:qFormat/>
    <w:uiPriority w:val="0"/>
    <w:rPr>
      <w:rFonts w:ascii="仿宋_GB2312" w:cs="仿宋_GB2312"/>
      <w:szCs w:val="32"/>
      <w:lang w:val="zh-CN" w:bidi="zh-CN"/>
    </w:rPr>
  </w:style>
  <w:style w:type="paragraph" w:styleId="6">
    <w:name w:val="Body Text Indent"/>
    <w:basedOn w:val="1"/>
    <w:unhideWhenUsed/>
    <w:qFormat/>
    <w:uiPriority w:val="99"/>
    <w:pPr>
      <w:ind w:firstLine="1280" w:firstLineChars="400"/>
    </w:pPr>
    <w:rPr>
      <w:rFonts w:ascii="Times New Roman" w:hAnsi="Times New Roman"/>
      <w:sz w:val="32"/>
      <w:szCs w:val="24"/>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unhideWhenUsed/>
    <w:qFormat/>
    <w:uiPriority w:val="99"/>
    <w:pPr>
      <w:ind w:firstLine="420" w:firstLineChars="100"/>
    </w:pPr>
  </w:style>
  <w:style w:type="paragraph" w:styleId="9">
    <w:name w:val="Body Text First Indent 2"/>
    <w:basedOn w:val="6"/>
    <w:next w:val="1"/>
    <w:qFormat/>
    <w:uiPriority w:val="0"/>
    <w:pPr>
      <w:ind w:firstLine="420" w:firstLineChars="200"/>
    </w:pPr>
  </w:style>
  <w:style w:type="table" w:styleId="11">
    <w:name w:val="Table Grid"/>
    <w:basedOn w:val="1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缩进311"/>
    <w:next w:val="1"/>
    <w:qFormat/>
    <w:uiPriority w:val="0"/>
    <w:pPr>
      <w:wordWrap w:val="0"/>
      <w:ind w:left="3400"/>
      <w:jc w:val="both"/>
    </w:pPr>
    <w:rPr>
      <w:rFonts w:ascii="Times New Roman" w:hAnsi="Times New Roman" w:eastAsia="宋体" w:cs="Times New Roman"/>
      <w:sz w:val="21"/>
      <w:szCs w:val="22"/>
      <w:lang w:val="en-US" w:eastAsia="zh-CN" w:bidi="ar-SA"/>
    </w:rPr>
  </w:style>
  <w:style w:type="paragraph" w:customStyle="1" w:styleId="14">
    <w:name w:val="null3"/>
    <w:qFormat/>
    <w:uiPriority w:val="0"/>
    <w:rPr>
      <w:rFonts w:hint="eastAsia" w:ascii="Calibri" w:hAnsi="Calibri" w:eastAsia="宋体" w:cs="Times New Roman"/>
      <w:lang w:val="en-US" w:eastAsia="zh-Hans"/>
    </w:rPr>
  </w:style>
  <w:style w:type="character" w:customStyle="1" w:styleId="15">
    <w:name w:val="font41"/>
    <w:basedOn w:val="12"/>
    <w:qFormat/>
    <w:uiPriority w:val="0"/>
    <w:rPr>
      <w:rFonts w:hint="eastAsia" w:ascii="宋体" w:hAnsi="宋体" w:eastAsia="宋体" w:cs="宋体"/>
      <w:b/>
      <w:color w:val="000000"/>
      <w:sz w:val="21"/>
      <w:szCs w:val="21"/>
      <w:u w:val="none"/>
    </w:rPr>
  </w:style>
  <w:style w:type="character" w:customStyle="1" w:styleId="16">
    <w:name w:val="font21"/>
    <w:basedOn w:val="12"/>
    <w:qFormat/>
    <w:uiPriority w:val="0"/>
    <w:rPr>
      <w:rFonts w:hint="default" w:ascii="Times New Roman" w:hAnsi="Times New Roman" w:cs="Times New Roman"/>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4038</Words>
  <Characters>4181</Characters>
  <Lines>0</Lines>
  <Paragraphs>0</Paragraphs>
  <TotalTime>19</TotalTime>
  <ScaleCrop>false</ScaleCrop>
  <LinksUpToDate>false</LinksUpToDate>
  <CharactersWithSpaces>4330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2023-01-10T03:10:00Z</dcterms:created>
  <dc:creator>。</dc:creator>
  <cp:lastModifiedBy>Donny</cp:lastModifiedBy>
  <cp:lastPrinted>2024-07-16T03:36:00Z</cp:lastPrinted>
  <dcterms:modified xsi:type="dcterms:W3CDTF">2024-08-16T08:16:28Z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1D8AF55D5135413DB42BAA540E7440EA_13</vt:lpwstr>
  </property>
</Properties>
</file>