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9DE77">
      <w:pPr>
        <w:pStyle w:val="14"/>
        <w:bidi w:val="0"/>
        <w:rPr>
          <w:rFonts w:hint="eastAsia"/>
          <w:lang w:val="en-US" w:eastAsia="zh-CN"/>
        </w:rPr>
      </w:pPr>
      <w:r>
        <w:rPr>
          <w:rFonts w:hint="eastAsia"/>
          <w:lang w:val="en-US" w:eastAsia="zh-CN"/>
        </w:rPr>
        <w:t xml:space="preserve"> 榕环评〔2024〕32号</w:t>
      </w:r>
    </w:p>
    <w:p w14:paraId="633E07AA">
      <w:pPr>
        <w:pStyle w:val="4"/>
        <w:keepNext/>
        <w:keepLines/>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rPr>
      </w:pPr>
      <w:r>
        <w:rPr>
          <w:rFonts w:hint="eastAsia" w:ascii="微软雅黑" w:hAnsi="微软雅黑" w:eastAsia="微软雅黑" w:cs="微软雅黑"/>
        </w:rPr>
        <w:t>福州</w:t>
      </w:r>
      <w:r>
        <w:rPr>
          <w:rFonts w:hint="eastAsia" w:ascii="微软雅黑" w:hAnsi="微软雅黑" w:eastAsia="微软雅黑" w:cs="微软雅黑"/>
          <w:lang w:eastAsia="zh-CN"/>
        </w:rPr>
        <w:t>市生态环境</w:t>
      </w:r>
      <w:r>
        <w:rPr>
          <w:rFonts w:hint="eastAsia" w:ascii="微软雅黑" w:hAnsi="微软雅黑" w:eastAsia="微软雅黑" w:cs="微软雅黑"/>
        </w:rPr>
        <w:t>局</w:t>
      </w:r>
    </w:p>
    <w:p w14:paraId="13CFD820">
      <w:pPr>
        <w:pStyle w:val="4"/>
        <w:keepNext/>
        <w:keepLines/>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关于东南汽车产线改造升级涂装车间</w:t>
      </w:r>
    </w:p>
    <w:p w14:paraId="1FB47297">
      <w:pPr>
        <w:pStyle w:val="4"/>
        <w:keepNext/>
        <w:keepLines/>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rPr>
      </w:pPr>
      <w:r>
        <w:rPr>
          <w:rFonts w:hint="eastAsia" w:ascii="微软雅黑" w:hAnsi="微软雅黑" w:eastAsia="微软雅黑" w:cs="微软雅黑"/>
          <w:lang w:eastAsia="zh-CN"/>
        </w:rPr>
        <w:t>改扩建项目</w:t>
      </w:r>
      <w:r>
        <w:rPr>
          <w:rFonts w:hint="eastAsia" w:ascii="微软雅黑" w:hAnsi="微软雅黑" w:eastAsia="微软雅黑" w:cs="微软雅黑"/>
        </w:rPr>
        <w:t>环境影响报告书的审批意见</w:t>
      </w:r>
    </w:p>
    <w:p w14:paraId="46C903AF">
      <w:pPr>
        <w:rPr>
          <w:rFonts w:hint="eastAsia" w:ascii="微软雅黑" w:hAnsi="微软雅黑" w:eastAsia="微软雅黑" w:cs="微软雅黑"/>
          <w:lang w:val="en-US" w:eastAsia="zh-CN"/>
        </w:rPr>
      </w:pPr>
    </w:p>
    <w:p w14:paraId="074243F0">
      <w:pPr>
        <w:pStyle w:val="16"/>
        <w:keepNext w:val="0"/>
        <w:keepLines w:val="0"/>
        <w:pageBreakBefore w:val="0"/>
        <w:widowControl w:val="0"/>
        <w:kinsoku/>
        <w:overflowPunct/>
        <w:topLinePunct w:val="0"/>
        <w:autoSpaceDE/>
        <w:autoSpaceDN/>
        <w:bidi w:val="0"/>
        <w:adjustRightInd/>
        <w:snapToGrid/>
        <w:spacing w:line="580" w:lineRule="exact"/>
        <w:textAlignment w:val="auto"/>
        <w:rPr>
          <w:rFonts w:hint="eastAsia"/>
        </w:rPr>
      </w:pPr>
      <w:r>
        <w:rPr>
          <w:rFonts w:hint="eastAsia"/>
        </w:rPr>
        <w:t>东南（福建）汽车工业股份有限公司：</w:t>
      </w:r>
    </w:p>
    <w:p w14:paraId="08B6B8CA">
      <w:pPr>
        <w:keepNext w:val="0"/>
        <w:keepLines w:val="0"/>
        <w:pageBreakBefore w:val="0"/>
        <w:widowControl w:val="0"/>
        <w:kinsoku/>
        <w:overflowPunct/>
        <w:topLinePunct w:val="0"/>
        <w:autoSpaceDE/>
        <w:autoSpaceDN/>
        <w:bidi w:val="0"/>
        <w:adjustRightInd/>
        <w:snapToGrid/>
        <w:spacing w:line="580" w:lineRule="exact"/>
        <w:textAlignment w:val="auto"/>
        <w:rPr>
          <w:rFonts w:hint="eastAsia"/>
          <w:lang w:val="en-US" w:eastAsia="zh-CN"/>
        </w:rPr>
      </w:pPr>
      <w:r>
        <w:rPr>
          <w:rFonts w:hint="eastAsia"/>
          <w:lang w:val="en-US" w:eastAsia="zh-CN"/>
        </w:rPr>
        <w:t>你司报送的《东南汽车产线改造升级涂装车间改扩建项目环境影响报告书》（以下简称《报告书》）及申请审批的报告收悉。根据《环境影响评价法》第22条等规定，经组织技术审查，并征求福州市</w:t>
      </w:r>
      <w:r>
        <w:rPr>
          <w:rFonts w:hint="eastAsia"/>
          <w:highlight w:val="none"/>
          <w:lang w:val="en-US" w:eastAsia="zh-CN"/>
        </w:rPr>
        <w:t>闽侯</w:t>
      </w:r>
      <w:r>
        <w:rPr>
          <w:rFonts w:hint="eastAsia"/>
          <w:lang w:val="en-US" w:eastAsia="zh-CN"/>
        </w:rPr>
        <w:t>生态环境局意见，现提出审批意见如下：</w:t>
      </w:r>
    </w:p>
    <w:p w14:paraId="0BB0F1A2">
      <w:pPr>
        <w:keepNext w:val="0"/>
        <w:keepLines w:val="0"/>
        <w:pageBreakBefore w:val="0"/>
        <w:widowControl w:val="0"/>
        <w:kinsoku/>
        <w:overflowPunct/>
        <w:topLinePunct w:val="0"/>
        <w:autoSpaceDE/>
        <w:autoSpaceDN/>
        <w:bidi w:val="0"/>
        <w:adjustRightInd/>
        <w:snapToGrid/>
        <w:spacing w:line="580" w:lineRule="exact"/>
        <w:textAlignment w:val="auto"/>
        <w:rPr>
          <w:rFonts w:hint="default"/>
          <w:highlight w:val="none"/>
          <w:lang w:val="en-US" w:eastAsia="zh-CN"/>
        </w:rPr>
      </w:pPr>
      <w:r>
        <w:rPr>
          <w:rFonts w:hint="eastAsia"/>
          <w:highlight w:val="none"/>
          <w:lang w:val="en-US" w:eastAsia="zh-CN"/>
        </w:rPr>
        <w:t>一、东南汽车产线改造升级涂装车间改扩建项目位于福州市闽侯县青口镇东南大道66号现有厂区内，项目拟淘汰现有落后的涂装工艺，于主机厂区现有厂房内新建涂装线，建设内容为1条前处理线、1条电泳线、1条PVC线、1条喷涂线、1条注蜡线、1条套色线，并配套污水处理站、动力站房及厂内变电站等，形成一条年涂装12万台汽车的涂装生产线。</w:t>
      </w:r>
    </w:p>
    <w:p w14:paraId="06BAB924">
      <w:pPr>
        <w:keepNext w:val="0"/>
        <w:keepLines w:val="0"/>
        <w:pageBreakBefore w:val="0"/>
        <w:widowControl w:val="0"/>
        <w:kinsoku/>
        <w:overflowPunct/>
        <w:topLinePunct w:val="0"/>
        <w:autoSpaceDE/>
        <w:autoSpaceDN/>
        <w:bidi w:val="0"/>
        <w:adjustRightInd/>
        <w:snapToGrid/>
        <w:spacing w:line="580" w:lineRule="exact"/>
        <w:textAlignment w:val="auto"/>
        <w:rPr>
          <w:rFonts w:hint="eastAsia"/>
          <w:lang w:val="en-US" w:eastAsia="zh-CN"/>
        </w:rPr>
      </w:pPr>
      <w:r>
        <w:rPr>
          <w:rFonts w:hint="eastAsia"/>
          <w:lang w:val="en-US" w:eastAsia="zh-CN"/>
        </w:rPr>
        <w:t>根据《报告书》评价结论和福州市环境影响评价技术中心的技术评估报告（编号2-2024-</w:t>
      </w:r>
      <w:r>
        <w:rPr>
          <w:rFonts w:hint="eastAsia"/>
          <w:highlight w:val="none"/>
          <w:lang w:val="en-US" w:eastAsia="zh-CN"/>
        </w:rPr>
        <w:t>024</w:t>
      </w:r>
      <w:r>
        <w:rPr>
          <w:rFonts w:hint="eastAsia"/>
          <w:lang w:val="en-US" w:eastAsia="zh-CN"/>
        </w:rPr>
        <w:t>），该项目建设符合国家产业政策、福州市国土空间总体规划、福州市生态环境分区管控要求，</w:t>
      </w:r>
      <w:r>
        <w:rPr>
          <w:rFonts w:hint="eastAsia"/>
          <w:lang w:eastAsia="zh-CN"/>
        </w:rPr>
        <w:t>符合《青口投资区总体规划》</w:t>
      </w:r>
      <w:r>
        <w:rPr>
          <w:rFonts w:hint="eastAsia"/>
          <w:color w:val="000000" w:themeColor="text1"/>
          <w:highlight w:val="none"/>
          <w:lang w:val="en-US" w:eastAsia="zh-CN"/>
          <w14:textFill>
            <w14:solidFill>
              <w14:schemeClr w14:val="tx1"/>
            </w14:solidFill>
          </w14:textFill>
        </w:rPr>
        <w:t>及其规划环评和跟踪评价要求</w:t>
      </w:r>
      <w:r>
        <w:rPr>
          <w:rFonts w:hint="eastAsia"/>
          <w:lang w:val="en-US" w:eastAsia="zh-CN"/>
        </w:rPr>
        <w:t>。在严格落实《报告书》提出的各项环境保护措施，加强环境管理的前提下，从环境影响角度分析，项目建设是可行的。</w:t>
      </w:r>
      <w:r>
        <w:rPr>
          <w:rFonts w:hint="eastAsia"/>
        </w:rPr>
        <w:t>同意</w:t>
      </w:r>
      <w:r>
        <w:rPr>
          <w:rFonts w:hint="eastAsia"/>
          <w:lang w:eastAsia="zh-CN"/>
        </w:rPr>
        <w:t>项目</w:t>
      </w:r>
      <w:r>
        <w:rPr>
          <w:rFonts w:hint="eastAsia"/>
        </w:rPr>
        <w:t>按照</w:t>
      </w:r>
      <w:r>
        <w:rPr>
          <w:rFonts w:hint="eastAsia"/>
          <w:lang w:val="en-US" w:eastAsia="zh-CN"/>
        </w:rPr>
        <w:t>《报告书》</w:t>
      </w:r>
      <w:r>
        <w:rPr>
          <w:rFonts w:hint="eastAsia"/>
        </w:rPr>
        <w:t>中所列的性质、规模、地点、采用的生产工艺</w:t>
      </w:r>
      <w:r>
        <w:rPr>
          <w:rFonts w:hint="eastAsia"/>
          <w:lang w:eastAsia="zh-CN"/>
        </w:rPr>
        <w:t>和</w:t>
      </w:r>
      <w:r>
        <w:rPr>
          <w:rFonts w:hint="eastAsia"/>
        </w:rPr>
        <w:t>污染防治措施进行建设</w:t>
      </w:r>
      <w:r>
        <w:rPr>
          <w:rFonts w:hint="eastAsia"/>
          <w:lang w:val="en-US" w:eastAsia="zh-CN"/>
        </w:rPr>
        <w:t>。</w:t>
      </w:r>
    </w:p>
    <w:p w14:paraId="471BD5B1">
      <w:pPr>
        <w:keepNext w:val="0"/>
        <w:keepLines w:val="0"/>
        <w:pageBreakBefore w:val="0"/>
        <w:widowControl w:val="0"/>
        <w:numPr>
          <w:ilvl w:val="0"/>
          <w:numId w:val="2"/>
        </w:numPr>
        <w:kinsoku/>
        <w:overflowPunct/>
        <w:topLinePunct w:val="0"/>
        <w:autoSpaceDE/>
        <w:autoSpaceDN/>
        <w:bidi w:val="0"/>
        <w:adjustRightInd/>
        <w:snapToGrid/>
        <w:spacing w:line="580" w:lineRule="exact"/>
        <w:textAlignment w:val="auto"/>
        <w:rPr>
          <w:rFonts w:hint="eastAsia" w:cs="仿宋_GB2312"/>
          <w:bCs/>
          <w:color w:val="000000"/>
          <w:sz w:val="32"/>
          <w:szCs w:val="32"/>
          <w:highlight w:val="none"/>
          <w:lang w:eastAsia="zh-CN"/>
        </w:rPr>
      </w:pPr>
      <w:r>
        <w:rPr>
          <w:rFonts w:hint="eastAsia"/>
          <w:lang w:val="en-US" w:eastAsia="zh-CN"/>
        </w:rPr>
        <w:t>要求你司在</w:t>
      </w:r>
      <w:r>
        <w:rPr>
          <w:rFonts w:hint="eastAsia"/>
          <w:lang w:eastAsia="zh-CN"/>
        </w:rPr>
        <w:t>项目</w:t>
      </w:r>
      <w:r>
        <w:rPr>
          <w:rFonts w:hint="eastAsia" w:ascii="仿宋_GB2312" w:hAnsi="仿宋_GB2312" w:eastAsia="仿宋_GB2312" w:cs="仿宋_GB2312"/>
          <w:bCs/>
          <w:color w:val="000000"/>
          <w:sz w:val="32"/>
          <w:szCs w:val="32"/>
          <w:highlight w:val="none"/>
        </w:rPr>
        <w:t>设计、施工和运营中应</w:t>
      </w:r>
      <w:r>
        <w:rPr>
          <w:rFonts w:hint="eastAsia" w:ascii="仿宋_GB2312" w:hAnsi="仿宋_GB2312" w:eastAsia="仿宋_GB2312" w:cs="仿宋_GB2312"/>
          <w:bCs/>
          <w:color w:val="000000"/>
          <w:sz w:val="32"/>
          <w:szCs w:val="32"/>
          <w:highlight w:val="none"/>
          <w:lang w:eastAsia="zh-CN"/>
        </w:rPr>
        <w:t>认真</w:t>
      </w:r>
      <w:r>
        <w:rPr>
          <w:rFonts w:hint="eastAsia" w:ascii="仿宋_GB2312" w:hAnsi="仿宋_GB2312" w:eastAsia="仿宋_GB2312" w:cs="仿宋_GB2312"/>
          <w:bCs/>
          <w:color w:val="000000"/>
          <w:sz w:val="32"/>
          <w:szCs w:val="32"/>
          <w:highlight w:val="none"/>
        </w:rPr>
        <w:t>落实《报告书》提出的各项生态保护</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污染防治、</w:t>
      </w:r>
      <w:r>
        <w:rPr>
          <w:rFonts w:hint="eastAsia" w:ascii="仿宋_GB2312" w:hAnsi="仿宋_GB2312" w:eastAsia="仿宋_GB2312" w:cs="仿宋_GB2312"/>
          <w:bCs/>
          <w:color w:val="000000"/>
          <w:sz w:val="32"/>
          <w:szCs w:val="32"/>
          <w:highlight w:val="none"/>
          <w:lang w:eastAsia="zh-CN"/>
        </w:rPr>
        <w:t>风险防控</w:t>
      </w:r>
      <w:r>
        <w:rPr>
          <w:rFonts w:hint="eastAsia" w:ascii="仿宋_GB2312" w:hAnsi="仿宋_GB2312" w:eastAsia="仿宋_GB2312" w:cs="仿宋_GB2312"/>
          <w:bCs/>
          <w:color w:val="000000"/>
          <w:sz w:val="32"/>
          <w:szCs w:val="32"/>
          <w:highlight w:val="none"/>
        </w:rPr>
        <w:t>措施，</w:t>
      </w:r>
      <w:r>
        <w:rPr>
          <w:rFonts w:hint="eastAsia"/>
          <w:lang w:eastAsia="zh-CN"/>
        </w:rPr>
        <w:t>确保</w:t>
      </w:r>
      <w:r>
        <w:rPr>
          <w:rFonts w:hint="eastAsia"/>
          <w:lang w:val="en-US" w:eastAsia="zh-CN"/>
        </w:rPr>
        <w:t>各项</w:t>
      </w:r>
      <w:r>
        <w:rPr>
          <w:rFonts w:hint="eastAsia"/>
          <w:lang w:eastAsia="zh-CN"/>
        </w:rPr>
        <w:t>污染物达标排放，</w:t>
      </w:r>
      <w:r>
        <w:rPr>
          <w:rFonts w:hint="eastAsia"/>
          <w:lang w:val="en-US" w:eastAsia="zh-CN"/>
        </w:rPr>
        <w:t>并</w:t>
      </w:r>
      <w:r>
        <w:rPr>
          <w:rFonts w:hint="eastAsia" w:ascii="仿宋_GB2312" w:hAnsi="仿宋_GB2312" w:eastAsia="仿宋_GB2312" w:cs="仿宋_GB2312"/>
          <w:bCs/>
          <w:color w:val="000000"/>
          <w:sz w:val="32"/>
          <w:szCs w:val="32"/>
          <w:highlight w:val="none"/>
        </w:rPr>
        <w:t>重点做好以下工作</w:t>
      </w:r>
      <w:r>
        <w:rPr>
          <w:rFonts w:hint="eastAsia" w:cs="仿宋_GB2312"/>
          <w:bCs/>
          <w:color w:val="000000"/>
          <w:sz w:val="32"/>
          <w:szCs w:val="32"/>
          <w:highlight w:val="none"/>
          <w:lang w:eastAsia="zh-CN"/>
        </w:rPr>
        <w:t>：</w:t>
      </w:r>
    </w:p>
    <w:p w14:paraId="68A9E2F1">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cs="仿宋_GB2312"/>
          <w:bCs/>
          <w:color w:val="000000"/>
          <w:sz w:val="32"/>
          <w:szCs w:val="32"/>
          <w:highlight w:val="red"/>
          <w:lang w:val="en-US" w:eastAsia="zh-CN"/>
        </w:rPr>
      </w:pPr>
      <w:r>
        <w:rPr>
          <w:rFonts w:hint="eastAsia" w:cs="仿宋_GB2312"/>
          <w:bCs/>
          <w:color w:val="000000"/>
          <w:sz w:val="32"/>
          <w:szCs w:val="32"/>
          <w:highlight w:val="none"/>
          <w:lang w:eastAsia="zh-CN"/>
        </w:rPr>
        <w:t>（</w:t>
      </w:r>
      <w:r>
        <w:rPr>
          <w:rFonts w:hint="eastAsia" w:cs="仿宋_GB2312"/>
          <w:bCs/>
          <w:color w:val="000000"/>
          <w:sz w:val="32"/>
          <w:szCs w:val="32"/>
          <w:highlight w:val="none"/>
          <w:lang w:val="en-US" w:eastAsia="zh-CN"/>
        </w:rPr>
        <w:t>一</w:t>
      </w:r>
      <w:r>
        <w:rPr>
          <w:rFonts w:hint="eastAsia"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eastAsia="zh-CN"/>
        </w:rPr>
        <w:t>按照“清污分流、雨污分流、分类收集、</w:t>
      </w:r>
      <w:r>
        <w:rPr>
          <w:rFonts w:hint="eastAsia" w:ascii="仿宋_GB2312" w:hAnsi="仿宋_GB2312" w:eastAsia="仿宋_GB2312" w:cs="仿宋_GB2312"/>
          <w:b w:val="0"/>
          <w:bCs/>
          <w:color w:val="000000"/>
          <w:sz w:val="32"/>
          <w:szCs w:val="32"/>
          <w:highlight w:val="none"/>
          <w:lang w:eastAsia="zh-CN"/>
        </w:rPr>
        <w:t>分质处理”原则，设立完善的废水分类收集、处理和回用系统，提高水循环利用率，最大限度减少废水外排量。</w:t>
      </w:r>
      <w:r>
        <w:rPr>
          <w:rFonts w:hint="eastAsia" w:cs="仿宋_GB2312"/>
          <w:b w:val="0"/>
          <w:bCs/>
          <w:color w:val="000000"/>
          <w:sz w:val="32"/>
          <w:szCs w:val="32"/>
          <w:highlight w:val="none"/>
          <w:lang w:eastAsia="zh-CN"/>
        </w:rPr>
        <w:t>项目新建一座污水处理站，涂装车间高浓度</w:t>
      </w:r>
      <w:r>
        <w:rPr>
          <w:rFonts w:hint="eastAsia" w:ascii="仿宋_GB2312" w:hAnsi="仿宋_GB2312" w:eastAsia="仿宋_GB2312" w:cs="仿宋_GB2312"/>
          <w:bCs/>
          <w:color w:val="000000"/>
          <w:sz w:val="32"/>
          <w:szCs w:val="32"/>
          <w:highlight w:val="none"/>
          <w:lang w:eastAsia="zh-CN"/>
        </w:rPr>
        <w:t>脱脂</w:t>
      </w:r>
      <w:r>
        <w:rPr>
          <w:rFonts w:hint="eastAsia" w:cs="仿宋_GB2312"/>
          <w:bCs/>
          <w:color w:val="000000"/>
          <w:sz w:val="32"/>
          <w:szCs w:val="32"/>
          <w:highlight w:val="none"/>
          <w:lang w:eastAsia="zh-CN"/>
        </w:rPr>
        <w:t>废水</w:t>
      </w:r>
      <w:r>
        <w:rPr>
          <w:rFonts w:hint="eastAsia" w:ascii="仿宋_GB2312" w:hAnsi="仿宋_GB2312" w:eastAsia="仿宋_GB2312" w:cs="仿宋_GB2312"/>
          <w:bCs/>
          <w:color w:val="000000"/>
          <w:sz w:val="32"/>
          <w:szCs w:val="32"/>
          <w:highlight w:val="none"/>
          <w:lang w:eastAsia="zh-CN"/>
        </w:rPr>
        <w:t>、</w:t>
      </w:r>
      <w:r>
        <w:rPr>
          <w:rFonts w:hint="eastAsia" w:cs="仿宋_GB2312"/>
          <w:bCs/>
          <w:color w:val="000000"/>
          <w:sz w:val="32"/>
          <w:szCs w:val="32"/>
          <w:highlight w:val="none"/>
          <w:lang w:eastAsia="zh-CN"/>
        </w:rPr>
        <w:t>热水洗废水、高浓度电泳废水分别经预处理后，与脱脂废水、电泳废水、滑橇格栅清洗废水、打磨修饰废水、交检车间淋雨试验废水排入综合废水调节池处理，再与经预处理后的涂装车间硅烷废水（含高浓度硅烷废水）以及循环水系统排污水、锅炉排污水</w:t>
      </w:r>
      <w:r>
        <w:rPr>
          <w:rFonts w:hint="eastAsia" w:cs="仿宋_GB2312"/>
          <w:bCs/>
          <w:color w:val="000000"/>
          <w:sz w:val="32"/>
          <w:szCs w:val="32"/>
          <w:highlight w:val="none"/>
          <w:lang w:val="en-US" w:eastAsia="zh-CN"/>
        </w:rPr>
        <w:t>进</w:t>
      </w:r>
      <w:r>
        <w:rPr>
          <w:rFonts w:hint="eastAsia" w:cs="仿宋_GB2312"/>
          <w:bCs/>
          <w:color w:val="000000"/>
          <w:sz w:val="32"/>
          <w:szCs w:val="32"/>
          <w:highlight w:val="none"/>
          <w:lang w:eastAsia="zh-CN"/>
        </w:rPr>
        <w:t>入综合污水调节池，经污水处理站生化系统</w:t>
      </w:r>
      <w:r>
        <w:rPr>
          <w:rFonts w:hint="eastAsia" w:cs="仿宋_GB2312"/>
          <w:bCs/>
          <w:color w:val="000000"/>
          <w:sz w:val="32"/>
          <w:szCs w:val="32"/>
          <w:highlight w:val="none"/>
          <w:lang w:val="en-US" w:eastAsia="zh-CN"/>
        </w:rPr>
        <w:t>进一步</w:t>
      </w:r>
      <w:r>
        <w:rPr>
          <w:rFonts w:hint="eastAsia" w:cs="仿宋_GB2312"/>
          <w:bCs/>
          <w:color w:val="000000"/>
          <w:sz w:val="32"/>
          <w:szCs w:val="32"/>
          <w:highlight w:val="none"/>
          <w:lang w:eastAsia="zh-CN"/>
        </w:rPr>
        <w:t>处理后，</w:t>
      </w:r>
      <w:r>
        <w:rPr>
          <w:rFonts w:hint="eastAsia" w:cs="仿宋_GB2312"/>
          <w:bCs/>
          <w:color w:val="000000"/>
          <w:sz w:val="32"/>
          <w:szCs w:val="32"/>
          <w:highlight w:val="none"/>
          <w:lang w:val="en-US" w:eastAsia="zh-CN"/>
        </w:rPr>
        <w:t>部分进入中水回用系统处理后回用于厂区内冲厕或循环水补水，</w:t>
      </w:r>
      <w:r>
        <w:rPr>
          <w:rFonts w:hint="eastAsia" w:cs="仿宋_GB2312"/>
          <w:bCs/>
          <w:color w:val="000000"/>
          <w:sz w:val="32"/>
          <w:szCs w:val="32"/>
          <w:highlight w:val="none"/>
          <w:lang w:eastAsia="zh-CN"/>
        </w:rPr>
        <w:t>其余</w:t>
      </w:r>
      <w:r>
        <w:rPr>
          <w:rFonts w:hint="eastAsia" w:cs="仿宋_GB2312"/>
          <w:bCs/>
          <w:color w:val="000000"/>
          <w:sz w:val="32"/>
          <w:szCs w:val="32"/>
          <w:highlight w:val="none"/>
          <w:lang w:val="en-US" w:eastAsia="zh-CN"/>
        </w:rPr>
        <w:t>排入市政污水管网纳</w:t>
      </w:r>
      <w:r>
        <w:rPr>
          <w:rFonts w:hint="eastAsia" w:cs="仿宋_GB2312"/>
          <w:bCs/>
          <w:color w:val="000000"/>
          <w:sz w:val="32"/>
          <w:szCs w:val="32"/>
          <w:highlight w:val="none"/>
          <w:lang w:eastAsia="zh-CN"/>
        </w:rPr>
        <w:t>入</w:t>
      </w:r>
      <w:r>
        <w:rPr>
          <w:rFonts w:hint="eastAsia" w:ascii="仿宋_GB2312" w:hAnsi="仿宋_GB2312" w:eastAsia="仿宋_GB2312" w:cs="仿宋_GB2312"/>
          <w:bCs/>
          <w:color w:val="000000"/>
          <w:sz w:val="32"/>
          <w:szCs w:val="32"/>
          <w:highlight w:val="none"/>
          <w:lang w:eastAsia="zh-CN"/>
        </w:rPr>
        <w:t>青口汽车工业开发区污水处理厂</w:t>
      </w:r>
      <w:r>
        <w:rPr>
          <w:rFonts w:hint="eastAsia" w:cs="仿宋_GB2312"/>
          <w:bCs/>
          <w:color w:val="000000"/>
          <w:sz w:val="32"/>
          <w:szCs w:val="32"/>
          <w:highlight w:val="none"/>
          <w:lang w:eastAsia="zh-CN"/>
        </w:rPr>
        <w:t>集中处理</w:t>
      </w:r>
      <w:r>
        <w:rPr>
          <w:rFonts w:hint="eastAsia" w:cs="仿宋_GB2312"/>
          <w:bCs/>
          <w:color w:val="000000"/>
          <w:sz w:val="32"/>
          <w:szCs w:val="32"/>
          <w:highlight w:val="none"/>
          <w:lang w:val="en-US" w:eastAsia="zh-CN"/>
        </w:rPr>
        <w:t>。回用水系统应设置流量控制装置，并做好台账管理。废水总排口应按规范化设置，安装在线监控装置并与生态环境部门联网。</w:t>
      </w:r>
    </w:p>
    <w:p w14:paraId="2EE20EA8">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二</w:t>
      </w: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加强</w:t>
      </w:r>
      <w:r>
        <w:rPr>
          <w:rFonts w:hint="eastAsia" w:ascii="仿宋_GB2312" w:hAnsi="仿宋_GB2312" w:eastAsia="仿宋_GB2312" w:cs="仿宋_GB2312"/>
          <w:b w:val="0"/>
          <w:bCs/>
          <w:color w:val="auto"/>
          <w:sz w:val="32"/>
          <w:szCs w:val="32"/>
          <w:highlight w:val="none"/>
          <w:lang w:eastAsia="zh-CN"/>
        </w:rPr>
        <w:t>对各类废气</w:t>
      </w:r>
      <w:r>
        <w:rPr>
          <w:rFonts w:hint="eastAsia" w:ascii="仿宋_GB2312" w:hAnsi="仿宋_GB2312" w:eastAsia="仿宋_GB2312" w:cs="仿宋_GB2312"/>
          <w:b w:val="0"/>
          <w:bCs/>
          <w:color w:val="auto"/>
          <w:sz w:val="32"/>
          <w:szCs w:val="32"/>
          <w:highlight w:val="none"/>
          <w:lang w:val="en-US" w:eastAsia="zh-CN"/>
        </w:rPr>
        <w:t>的</w:t>
      </w:r>
      <w:r>
        <w:rPr>
          <w:rFonts w:hint="eastAsia" w:ascii="仿宋_GB2312" w:hAnsi="仿宋_GB2312" w:eastAsia="仿宋_GB2312" w:cs="仿宋_GB2312"/>
          <w:b w:val="0"/>
          <w:bCs/>
          <w:color w:val="auto"/>
          <w:sz w:val="32"/>
          <w:szCs w:val="32"/>
          <w:highlight w:val="none"/>
          <w:lang w:eastAsia="zh-CN"/>
        </w:rPr>
        <w:t>控制、收集与处理</w:t>
      </w: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涂装车间</w:t>
      </w:r>
      <w:r>
        <w:rPr>
          <w:rFonts w:hint="eastAsia" w:cs="仿宋_GB2312"/>
          <w:b w:val="0"/>
          <w:bCs/>
          <w:color w:val="auto"/>
          <w:sz w:val="32"/>
          <w:szCs w:val="32"/>
          <w:highlight w:val="none"/>
          <w:lang w:eastAsia="zh-CN"/>
        </w:rPr>
        <w:t>应</w:t>
      </w:r>
      <w:r>
        <w:rPr>
          <w:rFonts w:hint="eastAsia" w:ascii="仿宋_GB2312" w:hAnsi="仿宋_GB2312" w:eastAsia="仿宋_GB2312" w:cs="仿宋_GB2312"/>
          <w:b w:val="0"/>
          <w:bCs/>
          <w:color w:val="auto"/>
          <w:sz w:val="32"/>
          <w:szCs w:val="32"/>
          <w:highlight w:val="none"/>
          <w:lang w:eastAsia="zh-CN"/>
        </w:rPr>
        <w:t>采用集中自动输调漆系统并密闭作业，</w:t>
      </w:r>
      <w:r>
        <w:rPr>
          <w:rFonts w:hint="eastAsia" w:cs="仿宋_GB2312"/>
          <w:b w:val="0"/>
          <w:bCs/>
          <w:color w:val="auto"/>
          <w:sz w:val="32"/>
          <w:szCs w:val="32"/>
          <w:highlight w:val="none"/>
          <w:lang w:val="en-US" w:eastAsia="zh-CN"/>
        </w:rPr>
        <w:t>最大程度</w:t>
      </w:r>
      <w:r>
        <w:rPr>
          <w:rFonts w:hint="eastAsia" w:ascii="仿宋_GB2312" w:hAnsi="仿宋_GB2312" w:eastAsia="仿宋_GB2312" w:cs="仿宋_GB2312"/>
          <w:b w:val="0"/>
          <w:bCs/>
          <w:color w:val="auto"/>
          <w:sz w:val="32"/>
          <w:szCs w:val="32"/>
          <w:highlight w:val="none"/>
          <w:lang w:eastAsia="zh-CN"/>
        </w:rPr>
        <w:t>减少</w:t>
      </w:r>
      <w:r>
        <w:rPr>
          <w:rFonts w:hint="eastAsia" w:cs="仿宋_GB2312"/>
          <w:b w:val="0"/>
          <w:bCs/>
          <w:color w:val="auto"/>
          <w:sz w:val="32"/>
          <w:szCs w:val="32"/>
          <w:highlight w:val="none"/>
          <w:lang w:val="en-US" w:eastAsia="zh-CN"/>
        </w:rPr>
        <w:t>废气的</w:t>
      </w:r>
      <w:r>
        <w:rPr>
          <w:rFonts w:hint="eastAsia" w:ascii="仿宋_GB2312" w:hAnsi="仿宋_GB2312" w:eastAsia="仿宋_GB2312" w:cs="仿宋_GB2312"/>
          <w:b w:val="0"/>
          <w:bCs/>
          <w:color w:val="auto"/>
          <w:sz w:val="32"/>
          <w:szCs w:val="32"/>
          <w:highlight w:val="none"/>
          <w:lang w:eastAsia="zh-CN"/>
        </w:rPr>
        <w:t>无组织排放。</w:t>
      </w:r>
      <w:r>
        <w:rPr>
          <w:rFonts w:hint="eastAsia" w:cs="仿宋_GB2312"/>
          <w:b w:val="0"/>
          <w:bCs/>
          <w:color w:val="auto"/>
          <w:sz w:val="32"/>
          <w:szCs w:val="32"/>
          <w:highlight w:val="none"/>
          <w:lang w:val="en-US" w:eastAsia="zh-CN"/>
        </w:rPr>
        <w:t>涂装车间的喷漆流平废气、面漆闪干废气、油性漆调漆间废气分别经过滤、</w:t>
      </w:r>
      <w:r>
        <w:rPr>
          <w:rFonts w:hint="default" w:cs="仿宋_GB2312"/>
          <w:b w:val="0"/>
          <w:bCs/>
          <w:color w:val="auto"/>
          <w:sz w:val="32"/>
          <w:szCs w:val="32"/>
          <w:highlight w:val="none"/>
          <w:lang w:val="en-US" w:eastAsia="zh-CN"/>
        </w:rPr>
        <w:t>沸石转轮浓缩吸附</w:t>
      </w:r>
      <w:r>
        <w:rPr>
          <w:rFonts w:hint="eastAsia" w:cs="仿宋_GB2312"/>
          <w:b w:val="0"/>
          <w:bCs/>
          <w:color w:val="auto"/>
          <w:sz w:val="32"/>
          <w:szCs w:val="32"/>
          <w:highlight w:val="none"/>
          <w:lang w:val="en-US" w:eastAsia="zh-CN"/>
        </w:rPr>
        <w:t>后，与经过滤后的烘干废气一同进入蓄能式热力焚烧炉（RTO）焚烧处理；</w:t>
      </w:r>
      <w:r>
        <w:rPr>
          <w:rFonts w:hint="eastAsia" w:ascii="仿宋_GB2312" w:hAnsi="仿宋_GB2312" w:eastAsia="仿宋_GB2312" w:cs="仿宋_GB2312"/>
          <w:b w:val="0"/>
          <w:bCs/>
          <w:color w:val="auto"/>
          <w:sz w:val="32"/>
          <w:szCs w:val="32"/>
          <w:highlight w:val="none"/>
          <w:lang w:eastAsia="zh-CN"/>
        </w:rPr>
        <w:t>电泳废气</w:t>
      </w: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水性漆调漆间废气、</w:t>
      </w:r>
      <w:r>
        <w:rPr>
          <w:rFonts w:hint="eastAsia" w:cs="仿宋_GB2312"/>
          <w:b w:val="0"/>
          <w:bCs/>
          <w:color w:val="auto"/>
          <w:sz w:val="32"/>
          <w:szCs w:val="32"/>
          <w:highlight w:val="none"/>
          <w:lang w:eastAsia="zh-CN"/>
        </w:rPr>
        <w:t>废</w:t>
      </w:r>
      <w:r>
        <w:rPr>
          <w:rFonts w:hint="eastAsia" w:ascii="仿宋_GB2312" w:hAnsi="仿宋_GB2312" w:eastAsia="仿宋_GB2312" w:cs="仿宋_GB2312"/>
          <w:b w:val="0"/>
          <w:bCs/>
          <w:color w:val="auto"/>
          <w:sz w:val="32"/>
          <w:szCs w:val="32"/>
          <w:highlight w:val="none"/>
          <w:lang w:eastAsia="zh-CN"/>
        </w:rPr>
        <w:t>纸盒暂存间废气</w:t>
      </w:r>
      <w:r>
        <w:rPr>
          <w:rFonts w:hint="eastAsia" w:cs="仿宋_GB2312"/>
          <w:b w:val="0"/>
          <w:bCs/>
          <w:color w:val="auto"/>
          <w:sz w:val="32"/>
          <w:szCs w:val="32"/>
          <w:highlight w:val="none"/>
          <w:lang w:val="en-US" w:eastAsia="zh-CN"/>
        </w:rPr>
        <w:t>经</w:t>
      </w:r>
      <w:r>
        <w:rPr>
          <w:rFonts w:hint="eastAsia" w:cs="仿宋_GB2312"/>
          <w:b w:val="0"/>
          <w:bCs/>
          <w:color w:val="auto"/>
          <w:sz w:val="32"/>
          <w:szCs w:val="32"/>
          <w:highlight w:val="none"/>
          <w:lang w:eastAsia="zh-CN"/>
        </w:rPr>
        <w:t>空气过滤器、活性炭吸附</w:t>
      </w:r>
      <w:r>
        <w:rPr>
          <w:rFonts w:hint="eastAsia" w:cs="仿宋_GB2312"/>
          <w:b w:val="0"/>
          <w:bCs/>
          <w:color w:val="auto"/>
          <w:sz w:val="32"/>
          <w:szCs w:val="32"/>
          <w:highlight w:val="none"/>
          <w:lang w:val="en-US" w:eastAsia="zh-CN"/>
        </w:rPr>
        <w:t>后，与RTO焚烧炉尾气一同由1根40米高排气筒高空排放。喷蜡废气、涂胶废气、点修补废气经</w:t>
      </w:r>
      <w:r>
        <w:rPr>
          <w:rFonts w:hint="eastAsia" w:cs="仿宋_GB2312"/>
          <w:b w:val="0"/>
          <w:bCs/>
          <w:color w:val="auto"/>
          <w:sz w:val="32"/>
          <w:szCs w:val="32"/>
          <w:highlight w:val="none"/>
          <w:lang w:eastAsia="zh-CN"/>
        </w:rPr>
        <w:t>空气过滤器、活性炭吸附</w:t>
      </w:r>
      <w:r>
        <w:rPr>
          <w:rFonts w:hint="eastAsia" w:cs="仿宋_GB2312"/>
          <w:b w:val="0"/>
          <w:bCs/>
          <w:color w:val="auto"/>
          <w:sz w:val="32"/>
          <w:szCs w:val="32"/>
          <w:highlight w:val="none"/>
          <w:lang w:val="en-US" w:eastAsia="zh-CN"/>
        </w:rPr>
        <w:t>后，由1根32米高排气筒高空排放。电泳打磨、面漆打磨、大返修打磨应在密闭打磨室内进行，打磨废气经除尘过滤后由23米高排气筒高空排放。闪干室、烘干室配备的天然气燃烧机均应采用低氮燃烧技术，燃烧废气由23米高排烟管高空排放。项目配套3台</w:t>
      </w:r>
      <w:r>
        <w:rPr>
          <w:rFonts w:hint="eastAsia" w:cs="仿宋_GB2312"/>
          <w:b w:val="0"/>
          <w:bCs/>
          <w:color w:val="000000" w:themeColor="text1"/>
          <w:sz w:val="32"/>
          <w:szCs w:val="32"/>
          <w:highlight w:val="none"/>
          <w:lang w:val="en-US" w:eastAsia="zh-CN"/>
          <w14:textFill>
            <w14:solidFill>
              <w14:schemeClr w14:val="tx1"/>
            </w14:solidFill>
          </w14:textFill>
        </w:rPr>
        <w:t>4.2MW</w:t>
      </w:r>
      <w:r>
        <w:rPr>
          <w:rFonts w:hint="eastAsia" w:cs="仿宋_GB2312"/>
          <w:b w:val="0"/>
          <w:bCs/>
          <w:color w:val="auto"/>
          <w:sz w:val="32"/>
          <w:szCs w:val="32"/>
          <w:highlight w:val="none"/>
          <w:lang w:val="en-US" w:eastAsia="zh-CN"/>
        </w:rPr>
        <w:t>燃气热水锅炉（2用1备），应采用低氮燃烧技术，锅炉废气由排气筒引至不低于15米高空排放。项目污水处理站产生的恶臭经碱液吸附、生物除臭处理后，由1根15米高排气筒排放。危废暂存库有机废气经活性炭吸附处理后，由1根15米高排气筒排放。</w:t>
      </w:r>
    </w:p>
    <w:p w14:paraId="66C608E8">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cs="仿宋_GB2312"/>
          <w:bCs/>
          <w:color w:val="auto"/>
          <w:sz w:val="32"/>
          <w:szCs w:val="32"/>
          <w:highlight w:val="none"/>
          <w:lang w:eastAsia="zh-CN"/>
        </w:rPr>
        <w:t>根据《报告书》评价结论，本项目投产后全厂</w:t>
      </w:r>
      <w:r>
        <w:rPr>
          <w:rFonts w:hint="eastAsia" w:cs="仿宋_GB2312"/>
          <w:bCs/>
          <w:color w:val="auto"/>
          <w:sz w:val="32"/>
          <w:szCs w:val="32"/>
          <w:highlight w:val="none"/>
          <w:lang w:val="en-US" w:eastAsia="zh-CN"/>
        </w:rPr>
        <w:t>环境</w:t>
      </w:r>
      <w:r>
        <w:rPr>
          <w:rFonts w:hint="eastAsia" w:cs="仿宋_GB2312"/>
          <w:bCs/>
          <w:color w:val="auto"/>
          <w:sz w:val="32"/>
          <w:szCs w:val="32"/>
          <w:highlight w:val="none"/>
          <w:lang w:eastAsia="zh-CN"/>
        </w:rPr>
        <w:t>防护距离为</w:t>
      </w:r>
      <w:r>
        <w:rPr>
          <w:rFonts w:hint="eastAsia" w:cs="仿宋_GB2312"/>
          <w:bCs/>
          <w:color w:val="auto"/>
          <w:sz w:val="32"/>
          <w:szCs w:val="32"/>
          <w:highlight w:val="none"/>
          <w:lang w:val="en-US" w:eastAsia="zh-CN"/>
        </w:rPr>
        <w:t>本次新建</w:t>
      </w:r>
      <w:r>
        <w:rPr>
          <w:rFonts w:hint="eastAsia" w:cs="仿宋_GB2312"/>
          <w:bCs/>
          <w:color w:val="auto"/>
          <w:sz w:val="32"/>
          <w:szCs w:val="32"/>
          <w:highlight w:val="none"/>
          <w:lang w:eastAsia="zh-CN"/>
        </w:rPr>
        <w:t>涂装车间外50</w:t>
      </w:r>
      <w:r>
        <w:rPr>
          <w:rFonts w:hint="eastAsia" w:cs="仿宋_GB2312"/>
          <w:bCs/>
          <w:color w:val="auto"/>
          <w:sz w:val="32"/>
          <w:szCs w:val="32"/>
          <w:highlight w:val="none"/>
          <w:lang w:val="en-US" w:eastAsia="zh-CN"/>
        </w:rPr>
        <w:t>米</w:t>
      </w:r>
      <w:r>
        <w:rPr>
          <w:rFonts w:hint="eastAsia" w:cs="仿宋_GB2312"/>
          <w:bCs/>
          <w:color w:val="auto"/>
          <w:sz w:val="32"/>
          <w:szCs w:val="32"/>
          <w:highlight w:val="none"/>
          <w:lang w:eastAsia="zh-CN"/>
        </w:rPr>
        <w:t>、危废暂存库外50</w:t>
      </w:r>
      <w:r>
        <w:rPr>
          <w:rFonts w:hint="eastAsia" w:cs="仿宋_GB2312"/>
          <w:bCs/>
          <w:color w:val="auto"/>
          <w:sz w:val="32"/>
          <w:szCs w:val="32"/>
          <w:highlight w:val="none"/>
          <w:lang w:val="en-US" w:eastAsia="zh-CN"/>
        </w:rPr>
        <w:t>米</w:t>
      </w:r>
      <w:r>
        <w:rPr>
          <w:rFonts w:hint="eastAsia" w:cs="仿宋_GB2312"/>
          <w:bCs/>
          <w:color w:val="auto"/>
          <w:sz w:val="32"/>
          <w:szCs w:val="32"/>
          <w:highlight w:val="none"/>
          <w:lang w:eastAsia="zh-CN"/>
        </w:rPr>
        <w:t>及污水处理站外50</w:t>
      </w:r>
      <w:r>
        <w:rPr>
          <w:rFonts w:hint="eastAsia" w:cs="仿宋_GB2312"/>
          <w:bCs/>
          <w:color w:val="auto"/>
          <w:sz w:val="32"/>
          <w:szCs w:val="32"/>
          <w:highlight w:val="none"/>
          <w:lang w:val="en-US" w:eastAsia="zh-CN"/>
        </w:rPr>
        <w:t>米</w:t>
      </w:r>
      <w:r>
        <w:rPr>
          <w:rFonts w:hint="eastAsia" w:cs="仿宋_GB2312"/>
          <w:bCs/>
          <w:color w:val="auto"/>
          <w:sz w:val="32"/>
          <w:szCs w:val="32"/>
          <w:highlight w:val="none"/>
          <w:lang w:eastAsia="zh-CN"/>
        </w:rPr>
        <w:t>，防护距离内不宜</w:t>
      </w:r>
      <w:r>
        <w:rPr>
          <w:rFonts w:hint="eastAsia"/>
          <w:lang w:val="en-US" w:eastAsia="zh-CN"/>
        </w:rPr>
        <w:t>规划和新建用于居住、文化教育等敏感建筑物。</w:t>
      </w:r>
      <w:r>
        <w:rPr>
          <w:rFonts w:hint="eastAsia" w:ascii="仿宋_GB2312" w:hAnsi="Times New Roman" w:eastAsia="仿宋_GB2312" w:cs="仿宋_GB2312"/>
          <w:color w:val="auto"/>
          <w:kern w:val="2"/>
          <w:sz w:val="32"/>
          <w:szCs w:val="32"/>
          <w:highlight w:val="none"/>
          <w:lang w:val="en-US" w:eastAsia="zh-CN" w:bidi="ar"/>
        </w:rPr>
        <w:t>你司应将环境防护距离控制要求及时报告当地政府和建设规划部门，并配合做好环境防护距离内的规划用地控制工作。</w:t>
      </w:r>
    </w:p>
    <w:p w14:paraId="798CA65A">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三）项目应优先选用低噪声设备，并进一步优化厂区总平面布置和高噪声设备布局。涂装车间增压风机应单独设置密闭风机房，空压机、风机、制冷机、水泵等高噪声污染源应采取减振、隔声、降噪措施，有效控制噪声影响，确保噪声达标排放和周边环境敏感点声环境质量达标。</w:t>
      </w:r>
    </w:p>
    <w:p w14:paraId="2A5A4187">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（四）</w:t>
      </w:r>
      <w:r>
        <w:rPr>
          <w:rFonts w:hint="eastAsia" w:ascii="仿宋_GB2312" w:eastAsia="仿宋_GB2312" w:cs="宋体"/>
          <w:kern w:val="0"/>
          <w:sz w:val="32"/>
          <w:szCs w:val="32"/>
          <w:highlight w:val="none"/>
          <w:lang w:val="en-US"/>
        </w:rPr>
        <w:t>应按规范设置危险废物和一般工业固体废物分类暂存场所</w:t>
      </w:r>
      <w:r>
        <w:rPr>
          <w:rFonts w:hint="eastAsia" w:ascii="仿宋_GB2312" w:eastAsia="仿宋_GB2312" w:cs="宋体"/>
          <w:kern w:val="0"/>
          <w:sz w:val="32"/>
          <w:szCs w:val="32"/>
          <w:highlight w:val="none"/>
          <w:lang w:val="en-US" w:eastAsia="zh-CN"/>
        </w:rPr>
        <w:t>，</w:t>
      </w:r>
      <w:r>
        <w:rPr>
          <w:rFonts w:hint="eastAsia"/>
          <w:lang w:val="en-US" w:eastAsia="zh-CN"/>
        </w:rPr>
        <w:t>按照“减量化、资源化、无害化”原则，对固体废物进行分类收集、贮存和处理处置。项目产生的表面预处理废槽渣、漆渣和废纸盒过滤器（含经鉴定为危险废物的水性漆渣和废纸盒过滤器）、洗枪废溶剂、废胶、废蜡、废活性炭、废沸石、废润滑油、废紫外灯管、废离子交换树脂、废石英砂、物化污泥、生化污泥、废变压器油、废蓄电池等危险废物应规范收集、暂存并委托有资质单位处理处置；溶剂废包装桶由厂家回收处置。废包装材料、纯水制备反渗透膜等一般固废由厂家回收，生活垃圾委托环卫部门统一处理。</w:t>
      </w:r>
    </w:p>
    <w:p w14:paraId="7C6051A3">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highlight w:val="red"/>
          <w:lang w:val="en-US" w:eastAsia="zh-CN"/>
        </w:rPr>
      </w:pPr>
      <w:r>
        <w:rPr>
          <w:rFonts w:hint="eastAsia"/>
          <w:lang w:val="en-US" w:eastAsia="zh-CN"/>
        </w:rPr>
        <w:t>（五）</w:t>
      </w:r>
      <w:r>
        <w:rPr>
          <w:rFonts w:hint="eastAsia" w:ascii="仿宋_GB2312" w:hAnsi="宋体" w:eastAsia="仿宋_GB2312" w:cs="仿宋_GB2312"/>
          <w:snapToGrid w:val="0"/>
          <w:kern w:val="0"/>
          <w:sz w:val="32"/>
          <w:szCs w:val="32"/>
          <w:highlight w:val="none"/>
          <w:lang w:val="en-US" w:eastAsia="zh-CN" w:bidi="ar"/>
        </w:rPr>
        <w:t>按照相关技术规范以及《报告书》确定的重点防渗区、一般防渗区、简单防渗区的要求分区采取防渗措施，并加强防渗设施的日常维护。</w:t>
      </w:r>
      <w:r>
        <w:rPr>
          <w:rFonts w:hint="eastAsia"/>
          <w:lang w:val="en-US" w:eastAsia="zh-CN"/>
        </w:rPr>
        <w:t>建立完善的土壤和地下水监测制度，设置地下水监测井和土壤跟踪监测点，严格落实土壤和地下水监测计划。一旦出现土壤或地下水污染，应立即启动应急预案和应急措施，减少对土壤和地下水的不利影响。</w:t>
      </w:r>
    </w:p>
    <w:p w14:paraId="127FF048">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cs="仿宋_GB2312"/>
          <w:b w:val="0"/>
          <w:bCs/>
          <w:color w:val="auto"/>
          <w:sz w:val="32"/>
          <w:szCs w:val="32"/>
          <w:highlight w:val="none"/>
          <w:lang w:eastAsia="zh-CN"/>
        </w:rPr>
      </w:pPr>
      <w:r>
        <w:rPr>
          <w:rFonts w:hint="eastAsia" w:cs="仿宋_GB2312"/>
          <w:b w:val="0"/>
          <w:bCs/>
          <w:color w:val="auto"/>
          <w:sz w:val="32"/>
          <w:szCs w:val="32"/>
          <w:highlight w:val="none"/>
          <w:lang w:eastAsia="zh-CN"/>
        </w:rPr>
        <w:t>（六）变电站应优化导线布设，电器设备应接地，围墙、建筑物应采取必要的屏蔽措施，尽量降低电磁辐射对周围环境的影响。</w:t>
      </w:r>
    </w:p>
    <w:p w14:paraId="431B7998">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cs="仿宋_GB2312"/>
          <w:b w:val="0"/>
          <w:bCs/>
          <w:color w:val="auto"/>
          <w:sz w:val="32"/>
          <w:szCs w:val="32"/>
          <w:highlight w:val="none"/>
          <w:lang w:eastAsia="zh-CN"/>
        </w:rPr>
        <w:t>（七）强化环境风险管理</w:t>
      </w:r>
      <w:r>
        <w:rPr>
          <w:rFonts w:hint="eastAsia" w:ascii="仿宋_GB2312" w:hAnsi="仿宋_GB2312" w:eastAsia="仿宋_GB2312" w:cs="仿宋_GB2312"/>
          <w:bCs/>
          <w:color w:val="auto"/>
          <w:sz w:val="32"/>
          <w:szCs w:val="32"/>
          <w:highlight w:val="none"/>
          <w:lang w:eastAsia="zh-CN"/>
        </w:rPr>
        <w:t>，落实环境风险防范措施。</w:t>
      </w:r>
      <w:r>
        <w:rPr>
          <w:rFonts w:hint="eastAsia" w:cs="仿宋_GB2312"/>
          <w:bCs/>
          <w:color w:val="auto"/>
          <w:sz w:val="32"/>
          <w:szCs w:val="32"/>
          <w:highlight w:val="none"/>
          <w:lang w:eastAsia="zh-CN"/>
        </w:rPr>
        <w:t>项目应按《报告书》要求，建设</w:t>
      </w:r>
      <w:r>
        <w:rPr>
          <w:rFonts w:hint="eastAsia" w:cs="仿宋_GB2312"/>
          <w:bCs/>
          <w:color w:val="auto"/>
          <w:sz w:val="32"/>
          <w:szCs w:val="32"/>
          <w:highlight w:val="none"/>
          <w:lang w:val="en-US" w:eastAsia="zh-CN"/>
        </w:rPr>
        <w:t>1座容积</w:t>
      </w:r>
      <w:r>
        <w:rPr>
          <w:rFonts w:hint="eastAsia" w:ascii="仿宋_GB2312" w:hAnsi="仿宋_GB2312" w:eastAsia="仿宋_GB2312" w:cs="仿宋_GB2312"/>
          <w:bCs/>
          <w:color w:val="auto"/>
          <w:sz w:val="32"/>
          <w:szCs w:val="32"/>
          <w:highlight w:val="none"/>
          <w:lang w:eastAsia="zh-CN"/>
        </w:rPr>
        <w:t>不小于</w:t>
      </w:r>
      <w:r>
        <w:rPr>
          <w:rFonts w:hint="eastAsia" w:cs="仿宋_GB2312"/>
          <w:bCs/>
          <w:color w:val="auto"/>
          <w:sz w:val="32"/>
          <w:szCs w:val="32"/>
          <w:highlight w:val="none"/>
          <w:lang w:val="en-US" w:eastAsia="zh-CN"/>
        </w:rPr>
        <w:t>800立方米</w:t>
      </w:r>
      <w:r>
        <w:rPr>
          <w:rFonts w:hint="eastAsia" w:cs="仿宋_GB2312"/>
          <w:bCs/>
          <w:color w:val="auto"/>
          <w:sz w:val="32"/>
          <w:szCs w:val="32"/>
          <w:highlight w:val="none"/>
          <w:vertAlign w:val="baseline"/>
          <w:lang w:eastAsia="zh-CN"/>
        </w:rPr>
        <w:t>的</w:t>
      </w:r>
      <w:r>
        <w:rPr>
          <w:rFonts w:hint="eastAsia" w:ascii="仿宋_GB2312" w:hAnsi="仿宋_GB2312" w:eastAsia="仿宋_GB2312" w:cs="仿宋_GB2312"/>
          <w:bCs/>
          <w:color w:val="auto"/>
          <w:sz w:val="32"/>
          <w:szCs w:val="32"/>
          <w:highlight w:val="none"/>
          <w:lang w:eastAsia="zh-CN"/>
        </w:rPr>
        <w:t>事故应急池</w:t>
      </w:r>
      <w:r>
        <w:rPr>
          <w:rFonts w:hint="eastAsia" w:cs="仿宋_GB2312"/>
          <w:bCs/>
          <w:color w:val="auto"/>
          <w:sz w:val="32"/>
          <w:szCs w:val="32"/>
          <w:highlight w:val="none"/>
          <w:lang w:val="en-US" w:eastAsia="zh-CN"/>
        </w:rPr>
        <w:t>，并</w:t>
      </w:r>
      <w:r>
        <w:rPr>
          <w:rFonts w:hint="eastAsia" w:ascii="仿宋_GB2312" w:hAnsi="仿宋_GB2312" w:eastAsia="仿宋_GB2312" w:cs="仿宋_GB2312"/>
          <w:bCs/>
          <w:color w:val="auto"/>
          <w:sz w:val="32"/>
          <w:szCs w:val="32"/>
          <w:highlight w:val="none"/>
          <w:lang w:eastAsia="zh-CN"/>
        </w:rPr>
        <w:t>配备事故废水导流设施，确保事故废水有效输送和收储。</w:t>
      </w:r>
      <w:r>
        <w:rPr>
          <w:rFonts w:hint="eastAsia"/>
          <w:bCs/>
        </w:rPr>
        <w:t>变电站配备容积不小于15</w:t>
      </w:r>
      <w:r>
        <w:rPr>
          <w:rFonts w:hint="eastAsia"/>
          <w:bCs/>
          <w:lang w:val="en-US" w:eastAsia="zh-CN"/>
        </w:rPr>
        <w:t>立方米</w:t>
      </w:r>
      <w:r>
        <w:rPr>
          <w:rFonts w:hint="eastAsia"/>
          <w:bCs/>
        </w:rPr>
        <w:t>的事故油池，确保事故排油通过主变油坑、排油管排入事故油池。</w:t>
      </w:r>
      <w:r>
        <w:rPr>
          <w:rFonts w:hint="eastAsia"/>
          <w:bCs/>
          <w:lang w:val="en-US" w:eastAsia="zh-CN"/>
        </w:rPr>
        <w:t>你司应</w:t>
      </w:r>
      <w:r>
        <w:rPr>
          <w:rFonts w:hint="eastAsia" w:ascii="仿宋_GB2312" w:hAnsi="仿宋_GB2312" w:eastAsia="仿宋_GB2312" w:cs="仿宋_GB2312"/>
          <w:bCs/>
          <w:color w:val="auto"/>
          <w:sz w:val="32"/>
          <w:szCs w:val="32"/>
          <w:highlight w:val="none"/>
          <w:lang w:eastAsia="zh-CN"/>
        </w:rPr>
        <w:t>及时</w:t>
      </w:r>
      <w:r>
        <w:rPr>
          <w:rFonts w:hint="eastAsia" w:cs="仿宋_GB2312"/>
          <w:bCs/>
          <w:color w:val="auto"/>
          <w:sz w:val="32"/>
          <w:szCs w:val="32"/>
          <w:highlight w:val="none"/>
          <w:lang w:eastAsia="zh-CN"/>
        </w:rPr>
        <w:t>修编</w:t>
      </w:r>
      <w:r>
        <w:rPr>
          <w:rFonts w:hint="eastAsia" w:ascii="仿宋_GB2312" w:hAnsi="仿宋_GB2312" w:eastAsia="仿宋_GB2312" w:cs="仿宋_GB2312"/>
          <w:bCs/>
          <w:color w:val="auto"/>
          <w:sz w:val="32"/>
          <w:szCs w:val="32"/>
          <w:highlight w:val="none"/>
          <w:lang w:eastAsia="zh-CN"/>
        </w:rPr>
        <w:t>突发环境事件应急预案</w:t>
      </w:r>
      <w:r>
        <w:rPr>
          <w:rFonts w:hint="eastAsia" w:cs="仿宋_GB2312"/>
          <w:bCs/>
          <w:color w:val="auto"/>
          <w:sz w:val="32"/>
          <w:szCs w:val="32"/>
          <w:highlight w:val="none"/>
          <w:lang w:eastAsia="zh-CN"/>
        </w:rPr>
        <w:t>并报生态环境部门备案</w:t>
      </w:r>
      <w:r>
        <w:rPr>
          <w:rFonts w:hint="eastAsia" w:ascii="仿宋_GB2312" w:hAnsi="仿宋_GB2312" w:eastAsia="仿宋_GB2312" w:cs="仿宋_GB2312"/>
          <w:bCs/>
          <w:color w:val="auto"/>
          <w:sz w:val="32"/>
          <w:szCs w:val="32"/>
          <w:highlight w:val="none"/>
          <w:lang w:eastAsia="zh-CN"/>
        </w:rPr>
        <w:t>，充分衔接政府</w:t>
      </w:r>
      <w:r>
        <w:rPr>
          <w:rFonts w:hint="eastAsia" w:cs="仿宋_GB2312"/>
          <w:bCs/>
          <w:color w:val="auto"/>
          <w:sz w:val="32"/>
          <w:szCs w:val="32"/>
          <w:highlight w:val="none"/>
          <w:lang w:eastAsia="zh-CN"/>
        </w:rPr>
        <w:t>、园区</w:t>
      </w:r>
      <w:r>
        <w:rPr>
          <w:rFonts w:hint="eastAsia" w:ascii="仿宋_GB2312" w:hAnsi="仿宋_GB2312" w:eastAsia="仿宋_GB2312" w:cs="仿宋_GB2312"/>
          <w:bCs/>
          <w:color w:val="auto"/>
          <w:sz w:val="32"/>
          <w:szCs w:val="32"/>
          <w:highlight w:val="none"/>
          <w:lang w:eastAsia="zh-CN"/>
        </w:rPr>
        <w:t>的应急预案</w:t>
      </w:r>
      <w:r>
        <w:rPr>
          <w:rFonts w:hint="eastAsia"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储备足够的环境事故应急物资及装备，定期开展环境事故应急演练</w:t>
      </w:r>
      <w:r>
        <w:rPr>
          <w:rFonts w:hint="eastAsia" w:cs="仿宋_GB2312"/>
          <w:bCs/>
          <w:color w:val="auto"/>
          <w:sz w:val="32"/>
          <w:szCs w:val="32"/>
          <w:highlight w:val="none"/>
          <w:lang w:eastAsia="zh-CN"/>
        </w:rPr>
        <w:t>，</w:t>
      </w:r>
      <w:r>
        <w:rPr>
          <w:rFonts w:hint="eastAsia" w:cs="仿宋_GB2312"/>
          <w:bCs/>
          <w:color w:val="auto"/>
          <w:sz w:val="32"/>
          <w:szCs w:val="32"/>
          <w:highlight w:val="none"/>
          <w:lang w:val="en-US" w:eastAsia="zh-CN"/>
        </w:rPr>
        <w:t>确保周边环境安全</w:t>
      </w:r>
      <w:r>
        <w:rPr>
          <w:rFonts w:hint="eastAsia" w:ascii="仿宋_GB2312" w:hAnsi="仿宋_GB2312" w:eastAsia="仿宋_GB2312" w:cs="仿宋_GB2312"/>
          <w:bCs/>
          <w:color w:val="auto"/>
          <w:sz w:val="32"/>
          <w:szCs w:val="32"/>
          <w:highlight w:val="none"/>
          <w:lang w:eastAsia="zh-CN"/>
        </w:rPr>
        <w:t>。</w:t>
      </w:r>
    </w:p>
    <w:p w14:paraId="7935464B">
      <w:pPr>
        <w:keepNext w:val="0"/>
        <w:keepLines w:val="0"/>
        <w:widowControl w:val="0"/>
        <w:suppressLineNumbers w:val="0"/>
        <w:snapToGrid w:val="0"/>
        <w:spacing w:before="0" w:beforeAutospacing="0" w:after="0" w:afterAutospacing="0" w:line="600" w:lineRule="exact"/>
        <w:ind w:left="0" w:right="0" w:firstLine="624" w:firstLineChars="195"/>
        <w:jc w:val="both"/>
        <w:textAlignment w:val="baseline"/>
        <w:rPr>
          <w:rFonts w:hint="eastAsia" w:ascii="仿宋_GB2312" w:eastAsia="仿宋_GB2312" w:cs="宋体"/>
          <w:kern w:val="0"/>
          <w:sz w:val="32"/>
          <w:szCs w:val="32"/>
          <w:highlight w:val="none"/>
          <w:vertAlign w:val="baseline"/>
          <w:lang w:val="en-US"/>
        </w:rPr>
      </w:pPr>
      <w:r>
        <w:rPr>
          <w:rFonts w:hint="eastAsia" w:ascii="仿宋_GB2312" w:hAnsi="Times New Roman" w:eastAsia="仿宋_GB2312" w:cs="宋体"/>
          <w:kern w:val="0"/>
          <w:sz w:val="32"/>
          <w:szCs w:val="32"/>
          <w:highlight w:val="none"/>
          <w:vertAlign w:val="baseline"/>
          <w:lang w:val="en-US" w:eastAsia="zh-CN" w:bidi="ar"/>
        </w:rPr>
        <w:t>三、污染物排放标准及主要污染物允许排放总量</w:t>
      </w:r>
    </w:p>
    <w:p w14:paraId="18B6CEBB">
      <w:pPr>
        <w:keepNext w:val="0"/>
        <w:keepLines w:val="0"/>
        <w:widowControl w:val="0"/>
        <w:suppressLineNumbers w:val="0"/>
        <w:snapToGrid w:val="0"/>
        <w:spacing w:before="0" w:beforeAutospacing="0" w:after="0" w:afterAutospacing="0" w:line="600" w:lineRule="exact"/>
        <w:ind w:left="0" w:right="0" w:firstLine="624" w:firstLineChars="195"/>
        <w:jc w:val="left"/>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（一）污染物排放标准</w:t>
      </w:r>
    </w:p>
    <w:p w14:paraId="69F4D85F">
      <w:pPr>
        <w:keepNext w:val="0"/>
        <w:keepLines w:val="0"/>
        <w:widowControl w:val="0"/>
        <w:suppressLineNumbers w:val="0"/>
        <w:snapToGrid w:val="0"/>
        <w:spacing w:before="0" w:beforeAutospacing="0" w:after="0" w:afterAutospacing="0" w:line="600" w:lineRule="exact"/>
        <w:ind w:left="0" w:right="0" w:firstLine="624" w:firstLineChars="195"/>
        <w:jc w:val="left"/>
        <w:rPr>
          <w:rFonts w:hint="eastAsia" w:ascii="仿宋_GB2312" w:hAnsi="仿宋_GB2312" w:eastAsia="仿宋_GB2312" w:cs="仿宋_GB2312"/>
          <w:bCs/>
          <w:color w:val="auto"/>
          <w:sz w:val="32"/>
          <w:szCs w:val="32"/>
          <w:highlight w:val="none"/>
          <w:lang w:val="en-US" w:eastAsia="zh-CN"/>
        </w:rPr>
      </w:pPr>
      <w:r>
        <w:rPr>
          <w:rFonts w:hint="eastAsia"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val="en-US" w:eastAsia="zh-CN"/>
        </w:rPr>
        <w:t>项目废水</w:t>
      </w:r>
      <w:r>
        <w:rPr>
          <w:rFonts w:hint="eastAsia" w:cs="仿宋_GB2312"/>
          <w:bCs/>
          <w:color w:val="000000"/>
          <w:sz w:val="32"/>
          <w:szCs w:val="32"/>
          <w:highlight w:val="none"/>
          <w:lang w:val="en-US" w:eastAsia="zh-CN"/>
        </w:rPr>
        <w:t>排入市政污水管网纳</w:t>
      </w:r>
      <w:r>
        <w:rPr>
          <w:rFonts w:hint="eastAsia" w:cs="仿宋_GB2312"/>
          <w:bCs/>
          <w:color w:val="000000"/>
          <w:sz w:val="32"/>
          <w:szCs w:val="32"/>
          <w:highlight w:val="none"/>
          <w:lang w:eastAsia="zh-CN"/>
        </w:rPr>
        <w:t>入</w:t>
      </w:r>
      <w:r>
        <w:rPr>
          <w:rFonts w:hint="eastAsia" w:ascii="仿宋_GB2312" w:hAnsi="仿宋_GB2312" w:eastAsia="仿宋_GB2312" w:cs="仿宋_GB2312"/>
          <w:bCs/>
          <w:color w:val="000000"/>
          <w:sz w:val="32"/>
          <w:szCs w:val="32"/>
          <w:highlight w:val="none"/>
          <w:lang w:eastAsia="zh-CN"/>
        </w:rPr>
        <w:t>青口汽车工业开发区污水处理厂</w:t>
      </w:r>
      <w:r>
        <w:rPr>
          <w:rFonts w:hint="eastAsia" w:cs="仿宋_GB2312"/>
          <w:bCs/>
          <w:color w:val="000000"/>
          <w:sz w:val="32"/>
          <w:szCs w:val="32"/>
          <w:highlight w:val="none"/>
          <w:lang w:eastAsia="zh-CN"/>
        </w:rPr>
        <w:t>集中处理</w:t>
      </w:r>
      <w:r>
        <w:rPr>
          <w:rFonts w:hint="eastAsia" w:ascii="仿宋_GB2312" w:hAnsi="仿宋_GB2312" w:eastAsia="仿宋_GB2312" w:cs="仿宋_GB2312"/>
          <w:bCs/>
          <w:color w:val="auto"/>
          <w:sz w:val="32"/>
          <w:szCs w:val="32"/>
          <w:highlight w:val="none"/>
          <w:lang w:val="en-US" w:eastAsia="zh-CN"/>
        </w:rPr>
        <w:t>执行《污水综合排放标准》（GB8978-1996）表4</w:t>
      </w:r>
      <w:bookmarkStart w:id="0" w:name="_GoBack"/>
      <w:bookmarkEnd w:id="0"/>
      <w:r>
        <w:rPr>
          <w:rFonts w:hint="eastAsia" w:ascii="仿宋_GB2312" w:hAnsi="仿宋_GB2312" w:eastAsia="仿宋_GB2312" w:cs="仿宋_GB2312"/>
          <w:bCs/>
          <w:color w:val="auto"/>
          <w:sz w:val="32"/>
          <w:szCs w:val="32"/>
          <w:highlight w:val="none"/>
          <w:lang w:val="en-US" w:eastAsia="zh-CN"/>
        </w:rPr>
        <w:t>三级标准限值和</w:t>
      </w:r>
      <w:r>
        <w:rPr>
          <w:rFonts w:hint="eastAsia" w:ascii="仿宋_GB2312" w:hAnsi="仿宋_GB2312" w:eastAsia="仿宋_GB2312" w:cs="仿宋_GB2312"/>
          <w:bCs/>
          <w:color w:val="auto"/>
          <w:sz w:val="32"/>
          <w:szCs w:val="32"/>
          <w:highlight w:val="none"/>
          <w:lang w:eastAsia="zh-CN"/>
        </w:rPr>
        <w:t>青口汽车工业开发区污水处理厂进水水质要求的较严</w:t>
      </w:r>
      <w:r>
        <w:rPr>
          <w:rFonts w:hint="eastAsia" w:ascii="仿宋_GB2312" w:hAnsi="仿宋_GB2312" w:eastAsia="仿宋_GB2312" w:cs="仿宋_GB2312"/>
          <w:bCs/>
          <w:color w:val="auto"/>
          <w:sz w:val="32"/>
          <w:szCs w:val="32"/>
          <w:highlight w:val="none"/>
          <w:lang w:val="en-US" w:eastAsia="zh-CN"/>
        </w:rPr>
        <w:t>值，其中氟化物排放执行《污水综合排放标准》（GB8978-1996）表4一级标准限值。废水处理后回用于厂区冲厕执行《城市污水再生利用 城市杂用水水质》（GB/T 18920-2020）表1中冲厕限值，回用于厂区循环水补水执行《城市污水再生利用工业用水水质》（GB/T 19923-2005）表1中“敞开式循环冷却水系统补充水”水质标准。</w:t>
      </w:r>
    </w:p>
    <w:p w14:paraId="3619F995">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600" w:lineRule="exact"/>
        <w:ind w:left="0" w:right="0" w:firstLine="624" w:firstLineChars="195"/>
        <w:jc w:val="left"/>
        <w:textAlignment w:val="auto"/>
        <w:rPr>
          <w:rFonts w:hint="eastAsia" w:cs="仿宋_GB2312"/>
          <w:b w:val="0"/>
          <w:bCs/>
          <w:color w:val="auto"/>
          <w:sz w:val="32"/>
          <w:szCs w:val="32"/>
          <w:highlight w:val="red"/>
          <w:lang w:val="en-US" w:eastAsia="zh-CN"/>
        </w:rPr>
      </w:pPr>
      <w:r>
        <w:rPr>
          <w:rFonts w:hint="eastAsia" w:eastAsia="仿宋_GB2312" w:cs="仿宋_GB2312"/>
          <w:bCs/>
          <w:color w:val="auto"/>
          <w:sz w:val="32"/>
          <w:szCs w:val="32"/>
          <w:highlight w:val="none"/>
          <w:lang w:val="en-US" w:eastAsia="zh-CN"/>
        </w:rPr>
        <w:t>2.</w:t>
      </w:r>
      <w:r>
        <w:rPr>
          <w:rFonts w:hint="eastAsia"/>
          <w:b w:val="0"/>
          <w:bCs w:val="0"/>
          <w:color w:val="000000" w:themeColor="text1"/>
          <w:lang w:val="en-US" w:eastAsia="zh-CN"/>
          <w14:textFill>
            <w14:solidFill>
              <w14:schemeClr w14:val="tx1"/>
            </w14:solidFill>
          </w14:textFill>
        </w:rPr>
        <w:t>涂装车间</w:t>
      </w:r>
      <w:r>
        <w:rPr>
          <w:rFonts w:hint="eastAsia" w:cs="仿宋_GB2312"/>
          <w:b w:val="0"/>
          <w:bCs/>
          <w:color w:val="auto"/>
          <w:sz w:val="32"/>
          <w:szCs w:val="32"/>
          <w:highlight w:val="none"/>
          <w:lang w:eastAsia="zh-CN"/>
        </w:rPr>
        <w:t>喷漆流平废气</w:t>
      </w:r>
      <w:r>
        <w:rPr>
          <w:rFonts w:hint="eastAsia"/>
          <w:b w:val="0"/>
          <w:bCs w:val="0"/>
          <w:color w:val="000000" w:themeColor="text1"/>
          <w:lang w:val="en-US" w:eastAsia="zh-CN"/>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面漆闪干废气、油性漆调漆间废气、烘干废气、</w:t>
      </w:r>
      <w:r>
        <w:rPr>
          <w:rFonts w:hint="eastAsia" w:ascii="仿宋_GB2312" w:hAnsi="仿宋_GB2312" w:eastAsia="仿宋_GB2312" w:cs="仿宋_GB2312"/>
          <w:b w:val="0"/>
          <w:bCs/>
          <w:color w:val="auto"/>
          <w:sz w:val="32"/>
          <w:szCs w:val="32"/>
          <w:highlight w:val="none"/>
          <w:lang w:eastAsia="zh-CN"/>
        </w:rPr>
        <w:t>电泳废气</w:t>
      </w: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水性漆调漆间废气、</w:t>
      </w:r>
      <w:r>
        <w:rPr>
          <w:rFonts w:hint="eastAsia" w:cs="仿宋_GB2312"/>
          <w:b w:val="0"/>
          <w:bCs/>
          <w:color w:val="auto"/>
          <w:sz w:val="32"/>
          <w:szCs w:val="32"/>
          <w:highlight w:val="none"/>
          <w:lang w:eastAsia="zh-CN"/>
        </w:rPr>
        <w:t>废</w:t>
      </w:r>
      <w:r>
        <w:rPr>
          <w:rFonts w:hint="eastAsia" w:ascii="仿宋_GB2312" w:hAnsi="仿宋_GB2312" w:eastAsia="仿宋_GB2312" w:cs="仿宋_GB2312"/>
          <w:b w:val="0"/>
          <w:bCs/>
          <w:color w:val="auto"/>
          <w:sz w:val="32"/>
          <w:szCs w:val="32"/>
          <w:highlight w:val="none"/>
          <w:lang w:eastAsia="zh-CN"/>
        </w:rPr>
        <w:t>纸盒暂存间废气</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喷蜡废气、涂胶废气、点修补废气</w:t>
      </w:r>
      <w:r>
        <w:rPr>
          <w:rFonts w:hint="eastAsia"/>
          <w:b w:val="0"/>
          <w:bCs w:val="0"/>
          <w:color w:val="000000" w:themeColor="text1"/>
          <w:lang w:val="en-US" w:eastAsia="zh-CN"/>
          <w14:textFill>
            <w14:solidFill>
              <w14:schemeClr w14:val="tx1"/>
            </w14:solidFill>
          </w14:textFill>
        </w:rPr>
        <w:t>及</w:t>
      </w:r>
      <w:r>
        <w:rPr>
          <w:rFonts w:hint="eastAsia" w:cs="仿宋_GB2312"/>
          <w:b w:val="0"/>
          <w:bCs/>
          <w:color w:val="auto"/>
          <w:sz w:val="32"/>
          <w:szCs w:val="32"/>
          <w:highlight w:val="none"/>
          <w:lang w:val="en-US" w:eastAsia="zh-CN"/>
        </w:rPr>
        <w:t>危废暂存库有机废气</w:t>
      </w:r>
      <w:r>
        <w:rPr>
          <w:rFonts w:hint="eastAsia"/>
          <w:b w:val="0"/>
          <w:bCs w:val="0"/>
          <w:color w:val="000000" w:themeColor="text1"/>
          <w:lang w:val="en-US" w:eastAsia="zh-CN"/>
          <w14:textFill>
            <w14:solidFill>
              <w14:schemeClr w14:val="tx1"/>
            </w14:solidFill>
          </w14:textFill>
        </w:rPr>
        <w:t>等挥发性有机物排放执行《工业涂装工序挥发性有机物排放标准》（DB35/1783-2018）表1中“汽车整车制造”排放限值；厂区挥发性有机物无组织排放执行《工业涂装工序挥发性有机物排放标准》（DB35/1783-2018）表3厂区内监控点浓度限值和表4企业边界监控点浓度限值，其中非甲烷总烃无组织排放还应执行《挥发性有机物无组织排放控制标准》（GB37822-2019）表A.1厂区内监控点处任意一次浓度排放限值。打磨废气颗粒物排放和厂区内颗粒物无组织排放执行《大气污染物综合排放标准》（GB16297-1996）表2中的二级排放限值及无组织排放监控浓度限值。</w:t>
      </w:r>
      <w:r>
        <w:rPr>
          <w:rFonts w:hint="eastAsia"/>
          <w:b w:val="0"/>
          <w:bCs w:val="0"/>
          <w:color w:val="000000" w:themeColor="text1"/>
          <w:highlight w:val="none"/>
          <w:lang w:val="en-US" w:eastAsia="zh-CN"/>
          <w14:textFill>
            <w14:solidFill>
              <w14:schemeClr w14:val="tx1"/>
            </w14:solidFill>
          </w14:textFill>
        </w:rPr>
        <w:t>RTO焚烧装置燃气废气的颗粒物、二氧化硫、氮氧化物排放参照执行《危险废物焚烧污染控制标准》（GB18484-2020）表3排放浓度限值；</w:t>
      </w:r>
      <w:r>
        <w:rPr>
          <w:rFonts w:hint="eastAsia" w:cs="仿宋_GB2312"/>
          <w:b w:val="0"/>
          <w:bCs/>
          <w:color w:val="auto"/>
          <w:sz w:val="32"/>
          <w:szCs w:val="32"/>
          <w:highlight w:val="none"/>
          <w:lang w:val="en-US" w:eastAsia="zh-CN"/>
        </w:rPr>
        <w:t>烘干燃烧废气中的颗粒物、二氧化硫和氮氧化物排放参照执行《福建省工业炉窑大气污染综合治理方案》（闽环保大气〔2019〕10号）的规定限值。锅炉燃烧废气排放执行《锅炉大气污染物排放标准》（GB13271-2014）表3特别排放限值。污水处理站恶臭污染物排放执行《恶臭污染物排放标准》（GB14554-93）表1中的二级厂界标准值和表2排放标准值。</w:t>
      </w:r>
    </w:p>
    <w:p w14:paraId="109CA11F">
      <w:pPr>
        <w:keepNext w:val="0"/>
        <w:keepLines w:val="0"/>
        <w:widowControl w:val="0"/>
        <w:suppressLineNumbers w:val="0"/>
        <w:snapToGrid w:val="0"/>
        <w:spacing w:before="0" w:beforeAutospacing="0" w:after="0" w:afterAutospacing="0" w:line="600" w:lineRule="exact"/>
        <w:ind w:left="0" w:right="0" w:firstLine="624" w:firstLineChars="195"/>
        <w:jc w:val="left"/>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3.运营期主机东侧和南侧厂界噪声排放执行《工业企业厂界环境噪声排放标准》（GB12348-2008）3类标准，北侧和西侧厂界噪声排放执行《工业企业厂界环境噪声排放标准》（GB12348-2008）4类标准。施工期场界噪声排放执行《建筑施工场界环境噪声排放标准》（GB12523-2011）排放限值。</w:t>
      </w:r>
    </w:p>
    <w:p w14:paraId="35F9A666">
      <w:pPr>
        <w:keepNext w:val="0"/>
        <w:keepLines w:val="0"/>
        <w:widowControl w:val="0"/>
        <w:suppressLineNumbers w:val="0"/>
        <w:snapToGrid w:val="0"/>
        <w:spacing w:before="0" w:beforeAutospacing="0" w:after="0" w:afterAutospacing="0" w:line="600" w:lineRule="exact"/>
        <w:ind w:left="0" w:right="0" w:firstLine="624" w:firstLineChars="195"/>
        <w:jc w:val="left"/>
        <w:rPr>
          <w:rFonts w:hint="eastAsia"/>
          <w:lang w:val="en-US" w:eastAsia="zh-CN"/>
        </w:rPr>
      </w:pPr>
      <w:r>
        <w:rPr>
          <w:rFonts w:hint="eastAsia" w:cs="仿宋_GB2312"/>
          <w:b w:val="0"/>
          <w:bCs/>
          <w:color w:val="auto"/>
          <w:sz w:val="32"/>
          <w:szCs w:val="32"/>
          <w:highlight w:val="none"/>
          <w:lang w:val="en-US" w:eastAsia="zh-CN"/>
        </w:rPr>
        <w:t>4.一般工业固体废物贮存执行《一般工业固</w:t>
      </w:r>
      <w:r>
        <w:rPr>
          <w:rFonts w:hint="eastAsia"/>
          <w:lang w:val="en-US" w:eastAsia="zh-CN"/>
        </w:rPr>
        <w:t>体废物贮存和填埋污染控制标准》（GB18599-2020）要求；危险废物贮存执行《危险废物贮存污染控制标准》（GB18597-2023）要求，转移管理执行《危险废物转移管理办法》（部令第23号）相关规定。</w:t>
      </w:r>
    </w:p>
    <w:p w14:paraId="1B0360E1">
      <w:pPr>
        <w:keepNext w:val="0"/>
        <w:keepLines w:val="0"/>
        <w:widowControl w:val="0"/>
        <w:suppressLineNumbers w:val="0"/>
        <w:snapToGrid w:val="0"/>
        <w:spacing w:before="0" w:beforeAutospacing="0" w:after="0" w:afterAutospacing="0" w:line="600" w:lineRule="exact"/>
        <w:ind w:left="0" w:right="0" w:firstLine="624" w:firstLineChars="195"/>
        <w:jc w:val="left"/>
        <w:rPr>
          <w:rFonts w:hint="eastAsia"/>
          <w:b w:val="0"/>
          <w:bCs w:val="0"/>
          <w:color w:val="000000" w:themeColor="text1"/>
          <w:lang w:val="en-US" w:eastAsia="zh-CN"/>
          <w14:textFill>
            <w14:solidFill>
              <w14:schemeClr w14:val="tx1"/>
            </w14:solidFill>
          </w14:textFill>
        </w:rPr>
      </w:pPr>
      <w:r>
        <w:rPr>
          <w:rFonts w:hint="eastAsia"/>
          <w:lang w:val="en-US" w:eastAsia="zh-CN"/>
        </w:rPr>
        <w:t>5.</w:t>
      </w:r>
      <w:r>
        <w:rPr>
          <w:rFonts w:hint="eastAsia"/>
          <w:b w:val="0"/>
          <w:bCs w:val="0"/>
          <w:color w:val="000000" w:themeColor="text1"/>
          <w:lang w:val="en-US" w:eastAsia="zh-CN"/>
          <w14:textFill>
            <w14:solidFill>
              <w14:schemeClr w14:val="tx1"/>
            </w14:solidFill>
          </w14:textFill>
        </w:rPr>
        <w:t>电场强度、磁场强度、磁感应强度应达到《电磁环境控制限值》（GB8702-2014）表1公众曝露控制限值。</w:t>
      </w:r>
    </w:p>
    <w:p w14:paraId="568CFA8C">
      <w:pPr>
        <w:keepNext w:val="0"/>
        <w:keepLines w:val="0"/>
        <w:widowControl w:val="0"/>
        <w:suppressLineNumbers w:val="0"/>
        <w:snapToGrid w:val="0"/>
        <w:spacing w:before="0" w:beforeAutospacing="0" w:after="0" w:afterAutospacing="0" w:line="600" w:lineRule="exact"/>
        <w:ind w:left="0" w:right="0" w:firstLine="624" w:firstLineChars="195"/>
        <w:jc w:val="left"/>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w:t>
      </w:r>
      <w:r>
        <w:rPr>
          <w:rFonts w:hint="eastAsia" w:hAnsi="Times New Roman" w:cs="宋体"/>
          <w:kern w:val="0"/>
          <w:sz w:val="32"/>
          <w:szCs w:val="32"/>
          <w:highlight w:val="none"/>
          <w:lang w:val="en-US" w:eastAsia="zh-CN" w:bidi="ar"/>
        </w:rPr>
        <w:t>二</w:t>
      </w:r>
      <w:r>
        <w:rPr>
          <w:rFonts w:hint="eastAsia" w:ascii="仿宋_GB2312" w:hAnsi="Times New Roman" w:eastAsia="仿宋_GB2312" w:cs="宋体"/>
          <w:kern w:val="0"/>
          <w:sz w:val="32"/>
          <w:szCs w:val="32"/>
          <w:highlight w:val="none"/>
          <w:lang w:val="en-US" w:eastAsia="zh-CN" w:bidi="ar"/>
        </w:rPr>
        <w:t>）</w:t>
      </w:r>
      <w:r>
        <w:rPr>
          <w:rFonts w:hint="eastAsia" w:hAnsi="Times New Roman" w:cs="宋体"/>
          <w:kern w:val="0"/>
          <w:sz w:val="32"/>
          <w:szCs w:val="32"/>
          <w:highlight w:val="none"/>
          <w:lang w:val="en-US" w:eastAsia="zh-CN" w:bidi="ar"/>
        </w:rPr>
        <w:t>主要污染物允许排放总量</w:t>
      </w:r>
    </w:p>
    <w:p w14:paraId="69F68B88">
      <w:pPr>
        <w:rPr>
          <w:rFonts w:hint="eastAsia"/>
          <w:highlight w:val="none"/>
          <w:lang w:val="en-US" w:eastAsia="zh-CN"/>
        </w:rPr>
      </w:pPr>
      <w:r>
        <w:rPr>
          <w:rFonts w:hint="eastAsia"/>
          <w:highlight w:val="none"/>
        </w:rPr>
        <w:t>本</w:t>
      </w:r>
      <w:r>
        <w:rPr>
          <w:rFonts w:hint="eastAsia"/>
          <w:highlight w:val="none"/>
          <w:lang w:val="en-US" w:eastAsia="zh-CN"/>
        </w:rPr>
        <w:t>项目建成后，全厂废气允许主要污染物排放总量控制要求为：</w:t>
      </w:r>
      <w:r>
        <w:rPr>
          <w:rFonts w:hint="eastAsia"/>
          <w:highlight w:val="none"/>
        </w:rPr>
        <w:t>二氧化硫≤</w:t>
      </w:r>
      <w:r>
        <w:rPr>
          <w:rFonts w:hint="eastAsia"/>
          <w:highlight w:val="none"/>
          <w:lang w:val="en-US" w:eastAsia="zh-CN"/>
        </w:rPr>
        <w:t>7.625</w:t>
      </w:r>
      <w:r>
        <w:rPr>
          <w:rFonts w:hint="eastAsia"/>
          <w:highlight w:val="none"/>
        </w:rPr>
        <w:t>t/a，</w:t>
      </w:r>
      <w:r>
        <w:rPr>
          <w:rFonts w:hint="eastAsia"/>
          <w:highlight w:val="none"/>
          <w:lang w:eastAsia="zh-CN"/>
        </w:rPr>
        <w:t>氮氧化物</w:t>
      </w:r>
      <w:r>
        <w:rPr>
          <w:rFonts w:hint="eastAsia"/>
          <w:highlight w:val="none"/>
        </w:rPr>
        <w:t>≤</w:t>
      </w:r>
      <w:r>
        <w:rPr>
          <w:rFonts w:hint="eastAsia"/>
          <w:highlight w:val="none"/>
          <w:lang w:val="en-US" w:eastAsia="zh-CN"/>
        </w:rPr>
        <w:t>17.395</w:t>
      </w:r>
      <w:r>
        <w:rPr>
          <w:rFonts w:hint="eastAsia"/>
          <w:highlight w:val="none"/>
        </w:rPr>
        <w:t>t/a，</w:t>
      </w:r>
      <w:r>
        <w:rPr>
          <w:rFonts w:hint="eastAsia"/>
          <w:highlight w:val="none"/>
          <w:lang w:val="en-US" w:eastAsia="zh-CN"/>
        </w:rPr>
        <w:t>挥发性有机物</w:t>
      </w:r>
      <w:r>
        <w:rPr>
          <w:rFonts w:hint="eastAsia"/>
          <w:highlight w:val="none"/>
        </w:rPr>
        <w:t>≤</w:t>
      </w:r>
      <w:r>
        <w:rPr>
          <w:rFonts w:hint="eastAsia"/>
          <w:highlight w:val="none"/>
          <w:lang w:val="en-US" w:eastAsia="zh-CN"/>
        </w:rPr>
        <w:t>41.298</w:t>
      </w:r>
      <w:r>
        <w:rPr>
          <w:rFonts w:hint="eastAsia"/>
          <w:highlight w:val="none"/>
        </w:rPr>
        <w:t>t/a</w:t>
      </w:r>
      <w:r>
        <w:rPr>
          <w:rFonts w:hint="eastAsia"/>
          <w:highlight w:val="none"/>
          <w:lang w:eastAsia="zh-CN"/>
        </w:rPr>
        <w:t>。</w:t>
      </w:r>
    </w:p>
    <w:p w14:paraId="024FB16E">
      <w:pPr>
        <w:keepNext w:val="0"/>
        <w:keepLines w:val="0"/>
        <w:pageBreakBefore w:val="0"/>
        <w:widowControl w:val="0"/>
        <w:kinsoku/>
        <w:overflowPunct/>
        <w:topLinePunct w:val="0"/>
        <w:autoSpaceDE/>
        <w:autoSpaceDN/>
        <w:bidi w:val="0"/>
        <w:adjustRightInd/>
        <w:snapToGrid/>
        <w:spacing w:line="580" w:lineRule="exact"/>
        <w:textAlignment w:val="auto"/>
        <w:rPr>
          <w:rFonts w:hint="default" w:eastAsia="仿宋_GB2312"/>
          <w:highlight w:val="none"/>
          <w:lang w:val="en-US" w:eastAsia="zh-CN"/>
        </w:rPr>
      </w:pPr>
      <w:r>
        <w:rPr>
          <w:rFonts w:hint="eastAsia"/>
          <w:highlight w:val="none"/>
          <w:lang w:eastAsia="zh-CN"/>
        </w:rPr>
        <w:t>如项目投产时</w:t>
      </w:r>
      <w:r>
        <w:rPr>
          <w:rFonts w:hint="eastAsia" w:ascii="仿宋_GB2312" w:hAnsi="仿宋_GB2312" w:eastAsia="仿宋_GB2312" w:cs="仿宋_GB2312"/>
          <w:bCs/>
          <w:color w:val="000000"/>
          <w:sz w:val="32"/>
          <w:szCs w:val="32"/>
          <w:highlight w:val="none"/>
          <w:lang w:eastAsia="zh-CN"/>
        </w:rPr>
        <w:t>青口汽车工业开发区污水处理厂</w:t>
      </w:r>
      <w:r>
        <w:rPr>
          <w:rFonts w:hint="eastAsia" w:cs="仿宋_GB2312"/>
          <w:bCs/>
          <w:color w:val="000000"/>
          <w:sz w:val="32"/>
          <w:szCs w:val="32"/>
          <w:highlight w:val="none"/>
          <w:lang w:eastAsia="zh-CN"/>
        </w:rPr>
        <w:t>已</w:t>
      </w:r>
      <w:r>
        <w:rPr>
          <w:rFonts w:hint="eastAsia"/>
          <w:highlight w:val="none"/>
          <w:lang w:eastAsia="zh-CN"/>
        </w:rPr>
        <w:t>完成提标改造，则</w:t>
      </w:r>
      <w:r>
        <w:rPr>
          <w:rFonts w:hint="eastAsia"/>
          <w:highlight w:val="none"/>
          <w:lang w:val="en-US" w:eastAsia="zh-CN"/>
        </w:rPr>
        <w:t>项目实施后全厂废水允许主要污染物排放总量控制要求为：</w:t>
      </w:r>
      <w:r>
        <w:rPr>
          <w:rFonts w:hint="eastAsia"/>
          <w:highlight w:val="none"/>
        </w:rPr>
        <w:t>化学需氧量≤12.</w:t>
      </w:r>
      <w:r>
        <w:rPr>
          <w:rFonts w:hint="eastAsia"/>
          <w:highlight w:val="none"/>
          <w:lang w:val="en-US" w:eastAsia="zh-CN"/>
        </w:rPr>
        <w:t>499</w:t>
      </w:r>
      <w:r>
        <w:rPr>
          <w:rFonts w:hint="eastAsia"/>
          <w:highlight w:val="none"/>
        </w:rPr>
        <w:t>t/a，氨氨≤1.</w:t>
      </w:r>
      <w:r>
        <w:rPr>
          <w:rFonts w:hint="eastAsia"/>
          <w:highlight w:val="none"/>
          <w:lang w:val="en-US" w:eastAsia="zh-CN"/>
        </w:rPr>
        <w:t>250</w:t>
      </w:r>
      <w:r>
        <w:rPr>
          <w:rFonts w:hint="eastAsia"/>
          <w:highlight w:val="none"/>
        </w:rPr>
        <w:t>t/a</w:t>
      </w:r>
      <w:r>
        <w:rPr>
          <w:rFonts w:hint="eastAsia"/>
          <w:highlight w:val="none"/>
          <w:lang w:eastAsia="zh-CN"/>
        </w:rPr>
        <w:t>；</w:t>
      </w:r>
      <w:r>
        <w:rPr>
          <w:rFonts w:hint="eastAsia"/>
          <w:highlight w:val="none"/>
          <w:lang w:val="en-US" w:eastAsia="zh-CN"/>
        </w:rPr>
        <w:t>如项目在</w:t>
      </w:r>
      <w:r>
        <w:rPr>
          <w:rFonts w:hint="eastAsia" w:ascii="仿宋_GB2312" w:hAnsi="仿宋_GB2312" w:eastAsia="仿宋_GB2312" w:cs="仿宋_GB2312"/>
          <w:bCs/>
          <w:color w:val="000000"/>
          <w:sz w:val="32"/>
          <w:szCs w:val="32"/>
          <w:highlight w:val="none"/>
          <w:lang w:eastAsia="zh-CN"/>
        </w:rPr>
        <w:t>青口汽车工业开发区污水处理厂</w:t>
      </w:r>
      <w:r>
        <w:rPr>
          <w:rFonts w:hint="eastAsia" w:cs="仿宋_GB2312"/>
          <w:bCs/>
          <w:color w:val="000000"/>
          <w:sz w:val="32"/>
          <w:szCs w:val="32"/>
          <w:highlight w:val="none"/>
          <w:lang w:val="en-US" w:eastAsia="zh-CN"/>
        </w:rPr>
        <w:t>提标改造完成前投产，则</w:t>
      </w:r>
      <w:r>
        <w:rPr>
          <w:rFonts w:hint="eastAsia"/>
          <w:highlight w:val="none"/>
          <w:lang w:val="en-US" w:eastAsia="zh-CN"/>
        </w:rPr>
        <w:t>全厂废水允许主要污染物排放总量控制要求为：</w:t>
      </w:r>
      <w:r>
        <w:rPr>
          <w:rFonts w:hint="eastAsia"/>
          <w:highlight w:val="none"/>
        </w:rPr>
        <w:t>化学需氧量≤</w:t>
      </w:r>
      <w:r>
        <w:rPr>
          <w:rFonts w:hint="eastAsia"/>
          <w:highlight w:val="none"/>
          <w:lang w:val="en-US" w:eastAsia="zh-CN"/>
        </w:rPr>
        <w:t>14.998</w:t>
      </w:r>
      <w:r>
        <w:rPr>
          <w:rFonts w:hint="eastAsia"/>
          <w:highlight w:val="none"/>
        </w:rPr>
        <w:t>t/a，氨氨≤</w:t>
      </w:r>
      <w:r>
        <w:rPr>
          <w:rFonts w:hint="eastAsia"/>
          <w:highlight w:val="none"/>
          <w:lang w:val="en-US" w:eastAsia="zh-CN"/>
        </w:rPr>
        <w:t>3.750</w:t>
      </w:r>
      <w:r>
        <w:rPr>
          <w:rFonts w:hint="eastAsia"/>
          <w:highlight w:val="none"/>
        </w:rPr>
        <w:t>t/a</w:t>
      </w:r>
      <w:r>
        <w:rPr>
          <w:rFonts w:hint="eastAsia"/>
          <w:highlight w:val="none"/>
          <w:lang w:eastAsia="zh-CN"/>
        </w:rPr>
        <w:t>。</w:t>
      </w:r>
    </w:p>
    <w:p w14:paraId="3FDDC4F5">
      <w:pPr>
        <w:keepNext w:val="0"/>
        <w:keepLines w:val="0"/>
        <w:pageBreakBefore w:val="0"/>
        <w:widowControl w:val="0"/>
        <w:kinsoku/>
        <w:overflowPunct/>
        <w:topLinePunct w:val="0"/>
        <w:autoSpaceDE/>
        <w:autoSpaceDN/>
        <w:bidi w:val="0"/>
        <w:adjustRightInd/>
        <w:snapToGrid/>
        <w:spacing w:line="580" w:lineRule="exact"/>
        <w:textAlignment w:val="auto"/>
        <w:rPr>
          <w:rFonts w:hint="default"/>
          <w:highlight w:val="none"/>
          <w:lang w:val="en-US" w:eastAsia="zh-CN"/>
        </w:rPr>
      </w:pPr>
      <w:r>
        <w:rPr>
          <w:rFonts w:hint="eastAsia"/>
          <w:highlight w:val="none"/>
          <w:lang w:val="en-US" w:eastAsia="zh-CN"/>
        </w:rPr>
        <w:t>你司应在项目投产前，按规定通过排污权交易获得二氧化硫、氮氧化物的排放指标。项目化学需氧量、氨氨、挥发性有机物不超过企业现有总量指标，无需进行交易或区域削减替代。</w:t>
      </w:r>
    </w:p>
    <w:p w14:paraId="10DF04CE">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default"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四、项目应按照“以新带老”要求，限期完成主要排放口VOCs在线监控安装并与生态环境部门联网、厂区内加油站油气回收装置建设工作。本项目建成投产后，现有工程中生产设施和环保设施须拆除或停用的，应按《报告书》提出的方案要求落实，并报生态环境主管部门备案。</w:t>
      </w:r>
    </w:p>
    <w:p w14:paraId="5B0A61E2">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color w:val="auto"/>
          <w:kern w:val="2"/>
          <w:sz w:val="32"/>
          <w:szCs w:val="32"/>
          <w:highlight w:val="none"/>
          <w:lang w:val="en-US" w:eastAsia="zh-CN" w:bidi="ar"/>
        </w:rPr>
      </w:pPr>
      <w:r>
        <w:rPr>
          <w:rFonts w:hint="eastAsia"/>
          <w:color w:val="000000" w:themeColor="text1"/>
          <w:lang w:val="en-US" w:eastAsia="zh-CN"/>
          <w14:textFill>
            <w14:solidFill>
              <w14:schemeClr w14:val="tx1"/>
            </w14:solidFill>
          </w14:textFill>
        </w:rPr>
        <w:t>五、《报告书》审批后</w:t>
      </w:r>
      <w:r>
        <w:rPr>
          <w:rFonts w:hint="eastAsia"/>
          <w:lang w:val="en-US" w:eastAsia="zh-CN"/>
        </w:rPr>
        <w:t>，如建设项目的性质、规模、地点、采用的生产工艺或者防治污染、防止生态破坏的措施发生重大变动的，应当依法重新报批项目的环境影响报告书。</w:t>
      </w:r>
      <w:r>
        <w:rPr>
          <w:rFonts w:hint="eastAsia" w:ascii="仿宋_GB2312" w:hAnsi="Times New Roman" w:eastAsia="仿宋_GB2312" w:cs="仿宋_GB2312"/>
          <w:color w:val="auto"/>
          <w:kern w:val="2"/>
          <w:sz w:val="32"/>
          <w:szCs w:val="32"/>
          <w:highlight w:val="none"/>
          <w:lang w:val="en-US" w:eastAsia="zh-CN" w:bidi="ar"/>
        </w:rPr>
        <w:t>《报告书》自批准之日起超过5年，方决定该项目开工建设的，《报告书》应当依法报我局重新审核。</w:t>
      </w:r>
    </w:p>
    <w:p w14:paraId="41E8088F">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color w:val="auto"/>
          <w:kern w:val="2"/>
          <w:sz w:val="32"/>
          <w:szCs w:val="32"/>
          <w:highlight w:val="none"/>
          <w:lang w:val="en-US" w:eastAsia="zh-CN" w:bidi="ar"/>
        </w:rPr>
      </w:pPr>
      <w:r>
        <w:rPr>
          <w:rFonts w:hint="eastAsia" w:hAnsi="Times New Roman" w:eastAsia="仿宋_GB2312" w:cs="仿宋_GB2312"/>
          <w:color w:val="auto"/>
          <w:kern w:val="2"/>
          <w:sz w:val="32"/>
          <w:szCs w:val="32"/>
          <w:highlight w:val="none"/>
          <w:lang w:val="en-US" w:eastAsia="zh-CN" w:bidi="ar"/>
        </w:rPr>
        <w:t>六、</w:t>
      </w:r>
      <w:r>
        <w:rPr>
          <w:rFonts w:hint="eastAsia" w:ascii="仿宋_GB2312" w:hAnsi="Times New Roman" w:eastAsia="仿宋_GB2312" w:cs="仿宋_GB2312"/>
          <w:color w:val="auto"/>
          <w:kern w:val="2"/>
          <w:sz w:val="32"/>
          <w:szCs w:val="32"/>
          <w:highlight w:val="none"/>
          <w:lang w:val="en-US" w:eastAsia="zh-CN" w:bidi="ar"/>
        </w:rPr>
        <w:t>项目建设应严格执行环境保护“三同时”制度。试生产前应按规定程序申请排污许可证，建成后应按规定程序自主开展竣工环境保护验收。项目配套的各项环境保护设施未建成或未经竣工验收合格，项目不得投入生产。</w:t>
      </w:r>
    </w:p>
    <w:p w14:paraId="1169343C">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七、我局委托福州市生态环境保护综合执法支队开展该项目环保“三同时”监督检查，由福州市闽侯生态环境局负责该项目日常环保监督管理工作。</w:t>
      </w:r>
    </w:p>
    <w:p w14:paraId="59F56A0A">
      <w:pPr>
        <w:pStyle w:val="2"/>
        <w:rPr>
          <w:rFonts w:hint="eastAsia"/>
          <w:lang w:val="en-US" w:eastAsia="zh-CN"/>
        </w:rPr>
      </w:pPr>
    </w:p>
    <w:p w14:paraId="78883B5C">
      <w:pPr>
        <w:pStyle w:val="2"/>
        <w:rPr>
          <w:rFonts w:hint="eastAsia"/>
          <w:lang w:val="en-US" w:eastAsia="zh-CN"/>
        </w:rPr>
      </w:pPr>
    </w:p>
    <w:p w14:paraId="75C57C53">
      <w:pPr>
        <w:wordWrap w:val="0"/>
        <w:bidi w:val="0"/>
        <w:jc w:val="right"/>
        <w:rPr>
          <w:rFonts w:hint="eastAsia"/>
          <w:lang w:val="en-US" w:eastAsia="zh-CN"/>
        </w:rPr>
      </w:pPr>
      <w:r>
        <w:rPr>
          <w:rFonts w:hint="eastAsia"/>
        </w:rPr>
        <w:t>福州市</w:t>
      </w:r>
      <w:r>
        <w:rPr>
          <w:rFonts w:hint="eastAsia"/>
          <w:lang w:eastAsia="zh-CN"/>
        </w:rPr>
        <w:t>生态环境局</w:t>
      </w:r>
      <w:r>
        <w:rPr>
          <w:rFonts w:hint="eastAsia"/>
          <w:lang w:val="en-US" w:eastAsia="zh-CN"/>
        </w:rPr>
        <w:t xml:space="preserve">        </w:t>
      </w:r>
    </w:p>
    <w:p w14:paraId="09F2BE57">
      <w:pPr>
        <w:wordWrap w:val="0"/>
        <w:bidi w:val="0"/>
        <w:jc w:val="right"/>
        <w:rPr>
          <w:rFonts w:hint="eastAsia"/>
          <w:highlight w:val="none"/>
          <w:lang w:val="en-US" w:eastAsia="zh-CN"/>
        </w:rPr>
      </w:pPr>
      <w:r>
        <w:rPr>
          <w:rFonts w:hint="eastAsia"/>
        </w:rPr>
        <w:t>20</w:t>
      </w:r>
      <w:r>
        <w:rPr>
          <w:rFonts w:hint="eastAsia"/>
          <w:lang w:val="en-US" w:eastAsia="zh-CN"/>
        </w:rPr>
        <w:t>24</w:t>
      </w:r>
      <w:r>
        <w:rPr>
          <w:rFonts w:hint="eastAsia"/>
        </w:rPr>
        <w:t>年</w:t>
      </w:r>
      <w:r>
        <w:rPr>
          <w:rFonts w:hint="eastAsia"/>
          <w:lang w:val="en-US" w:eastAsia="zh-CN"/>
        </w:rPr>
        <w:t>12</w:t>
      </w:r>
      <w:r>
        <w:rPr>
          <w:rFonts w:hint="eastAsia"/>
          <w:highlight w:val="none"/>
        </w:rPr>
        <w:t>月</w:t>
      </w:r>
      <w:r>
        <w:rPr>
          <w:rFonts w:hint="eastAsia"/>
          <w:highlight w:val="none"/>
          <w:lang w:val="en-US" w:eastAsia="zh-CN"/>
        </w:rPr>
        <w:t>11</w:t>
      </w:r>
      <w:r>
        <w:rPr>
          <w:rFonts w:hint="eastAsia"/>
          <w:highlight w:val="none"/>
        </w:rPr>
        <w:t>日</w:t>
      </w:r>
      <w:r>
        <w:rPr>
          <w:rFonts w:hint="eastAsia"/>
          <w:highlight w:val="none"/>
          <w:lang w:val="en-US" w:eastAsia="zh-CN"/>
        </w:rPr>
        <w:t xml:space="preserve">        </w:t>
      </w:r>
    </w:p>
    <w:p w14:paraId="46C06BF8">
      <w:pPr>
        <w:pStyle w:val="2"/>
        <w:ind w:left="0" w:leftChars="0" w:firstLine="0" w:firstLineChars="0"/>
        <w:rPr>
          <w:rFonts w:hint="default" w:eastAsia="仿宋_GB2312"/>
          <w:highlight w:val="none"/>
          <w:lang w:val="en-US" w:eastAsia="zh-CN"/>
        </w:rPr>
      </w:pPr>
    </w:p>
    <w:p w14:paraId="30C49813">
      <w:pPr>
        <w:pStyle w:val="2"/>
        <w:ind w:left="0" w:leftChars="0" w:firstLine="0" w:firstLineChars="0"/>
        <w:rPr>
          <w:rFonts w:hint="default" w:eastAsia="仿宋_GB2312"/>
          <w:highlight w:val="none"/>
          <w:lang w:val="en-US" w:eastAsia="zh-CN"/>
        </w:rPr>
      </w:pPr>
    </w:p>
    <w:tbl>
      <w:tblPr>
        <w:tblStyle w:val="11"/>
        <w:tblpPr w:horzAnchor="margin" w:tblpX="1" w:tblpYSpec="bottom"/>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16"/>
        <w:gridCol w:w="3274"/>
        <w:gridCol w:w="4589"/>
      </w:tblGrid>
      <w:tr w14:paraId="4312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717" w:type="pct"/>
            <w:tcBorders>
              <w:left w:val="nil"/>
              <w:right w:val="nil"/>
            </w:tcBorders>
            <w:noWrap w:val="0"/>
            <w:vAlign w:val="top"/>
          </w:tcPr>
          <w:p w14:paraId="79B321A5">
            <w:pPr>
              <w:pStyle w:val="16"/>
              <w:bidi w:val="0"/>
              <w:ind w:firstLine="320" w:firstLineChars="100"/>
              <w:jc w:val="left"/>
              <w:rPr>
                <w:rFonts w:hint="eastAsia"/>
                <w:highlight w:val="none"/>
                <w:lang w:val="en-US" w:eastAsia="zh-CN"/>
              </w:rPr>
            </w:pPr>
            <w:r>
              <w:rPr>
                <w:rFonts w:hint="eastAsia"/>
                <w:highlight w:val="none"/>
              </w:rPr>
              <w:t>抄送：</w:t>
            </w:r>
          </w:p>
        </w:tc>
        <w:tc>
          <w:tcPr>
            <w:tcW w:w="4282" w:type="pct"/>
            <w:gridSpan w:val="2"/>
            <w:tcBorders>
              <w:left w:val="nil"/>
              <w:right w:val="nil"/>
            </w:tcBorders>
            <w:noWrap w:val="0"/>
            <w:vAlign w:val="top"/>
          </w:tcPr>
          <w:p w14:paraId="375BAB28">
            <w:pPr>
              <w:pStyle w:val="16"/>
              <w:bidi w:val="0"/>
              <w:rPr>
                <w:rFonts w:hint="eastAsia"/>
                <w:highlight w:val="none"/>
                <w:lang w:val="en-US" w:eastAsia="zh-CN"/>
              </w:rPr>
            </w:pPr>
            <w:r>
              <w:rPr>
                <w:rFonts w:hint="eastAsia"/>
                <w:highlight w:val="none"/>
                <w:lang w:eastAsia="zh-CN"/>
              </w:rPr>
              <w:t>局大气处、</w:t>
            </w:r>
            <w:r>
              <w:rPr>
                <w:rFonts w:hint="eastAsia"/>
                <w:highlight w:val="none"/>
              </w:rPr>
              <w:t>土处</w:t>
            </w:r>
            <w:r>
              <w:rPr>
                <w:rFonts w:hint="eastAsia"/>
                <w:highlight w:val="none"/>
                <w:lang w:eastAsia="zh-CN"/>
              </w:rPr>
              <w:t>、监测处，</w:t>
            </w:r>
            <w:r>
              <w:rPr>
                <w:rFonts w:hint="eastAsia"/>
                <w:highlight w:val="none"/>
              </w:rPr>
              <w:t>福州市生态环境保护综合执法支队</w:t>
            </w:r>
            <w:r>
              <w:rPr>
                <w:rFonts w:hint="eastAsia"/>
                <w:highlight w:val="none"/>
                <w:lang w:eastAsia="zh-CN"/>
              </w:rPr>
              <w:t>，</w:t>
            </w:r>
            <w:r>
              <w:rPr>
                <w:rFonts w:hint="eastAsia"/>
                <w:highlight w:val="none"/>
              </w:rPr>
              <w:t>福州市环境影响评价技术中心，闽侯青口汽车工业园区管理委员会</w:t>
            </w:r>
            <w:r>
              <w:rPr>
                <w:rFonts w:hint="eastAsia"/>
                <w:highlight w:val="none"/>
                <w:lang w:eastAsia="zh-CN"/>
              </w:rPr>
              <w:t>，</w:t>
            </w:r>
            <w:r>
              <w:rPr>
                <w:rFonts w:hint="eastAsia"/>
                <w:highlight w:val="none"/>
              </w:rPr>
              <w:t>福州市</w:t>
            </w:r>
            <w:r>
              <w:rPr>
                <w:rFonts w:hint="eastAsia"/>
                <w:highlight w:val="none"/>
                <w:lang w:eastAsia="zh-CN"/>
              </w:rPr>
              <w:t>闽侯</w:t>
            </w:r>
            <w:r>
              <w:rPr>
                <w:rFonts w:hint="eastAsia"/>
                <w:highlight w:val="none"/>
              </w:rPr>
              <w:t>生态环境局</w:t>
            </w:r>
            <w:r>
              <w:rPr>
                <w:rFonts w:hint="eastAsia"/>
                <w:highlight w:val="none"/>
                <w:lang w:eastAsia="zh-CN"/>
              </w:rPr>
              <w:t>，</w:t>
            </w:r>
            <w:r>
              <w:rPr>
                <w:rFonts w:hint="eastAsia"/>
                <w:highlight w:val="none"/>
              </w:rPr>
              <w:t>福建</w:t>
            </w:r>
            <w:r>
              <w:rPr>
                <w:rFonts w:hint="eastAsia"/>
                <w:highlight w:val="none"/>
                <w:lang w:eastAsia="zh-CN"/>
              </w:rPr>
              <w:t>省</w:t>
            </w:r>
            <w:r>
              <w:rPr>
                <w:rFonts w:hint="eastAsia"/>
                <w:highlight w:val="none"/>
              </w:rPr>
              <w:t>金皇环保科技有限公司。</w:t>
            </w:r>
          </w:p>
        </w:tc>
      </w:tr>
      <w:tr w14:paraId="7D68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500" w:type="pct"/>
            <w:gridSpan w:val="2"/>
            <w:tcBorders>
              <w:left w:val="nil"/>
              <w:right w:val="nil"/>
            </w:tcBorders>
            <w:noWrap w:val="0"/>
            <w:vAlign w:val="top"/>
          </w:tcPr>
          <w:p w14:paraId="4AEDB07A">
            <w:pPr>
              <w:pStyle w:val="16"/>
              <w:bidi w:val="0"/>
              <w:ind w:firstLine="320" w:firstLineChars="100"/>
              <w:rPr>
                <w:rFonts w:hint="eastAsia"/>
                <w:highlight w:val="none"/>
                <w:lang w:val="en-US" w:eastAsia="zh-CN"/>
              </w:rPr>
            </w:pPr>
            <w:r>
              <w:rPr>
                <w:rFonts w:hint="eastAsia"/>
                <w:highlight w:val="none"/>
              </w:rPr>
              <w:t>福州市</w:t>
            </w:r>
            <w:r>
              <w:rPr>
                <w:rFonts w:hint="eastAsia"/>
                <w:highlight w:val="none"/>
                <w:lang w:eastAsia="zh-CN"/>
              </w:rPr>
              <w:t>生态环境</w:t>
            </w:r>
            <w:r>
              <w:rPr>
                <w:rFonts w:hint="eastAsia"/>
                <w:highlight w:val="none"/>
              </w:rPr>
              <w:t>局</w:t>
            </w:r>
          </w:p>
        </w:tc>
        <w:tc>
          <w:tcPr>
            <w:tcW w:w="2499" w:type="pct"/>
            <w:tcBorders>
              <w:left w:val="nil"/>
              <w:right w:val="nil"/>
            </w:tcBorders>
            <w:noWrap w:val="0"/>
            <w:vAlign w:val="top"/>
          </w:tcPr>
          <w:p w14:paraId="5473CC1A">
            <w:pPr>
              <w:pStyle w:val="16"/>
              <w:bidi w:val="0"/>
              <w:jc w:val="right"/>
              <w:rPr>
                <w:rFonts w:hint="eastAsia" w:eastAsia="仿宋_GB2312"/>
                <w:highlight w:val="none"/>
                <w:lang w:val="en-US" w:eastAsia="zh-CN"/>
              </w:rPr>
            </w:pPr>
            <w:r>
              <w:rPr>
                <w:rFonts w:hint="eastAsia"/>
                <w:highlight w:val="none"/>
              </w:rPr>
              <w:t>2024年</w:t>
            </w:r>
            <w:r>
              <w:rPr>
                <w:rFonts w:hint="eastAsia"/>
                <w:highlight w:val="none"/>
                <w:lang w:val="en-US" w:eastAsia="zh-CN"/>
              </w:rPr>
              <w:t>12</w:t>
            </w:r>
            <w:r>
              <w:rPr>
                <w:rFonts w:hint="eastAsia"/>
                <w:highlight w:val="none"/>
              </w:rPr>
              <w:t>月</w:t>
            </w:r>
            <w:r>
              <w:rPr>
                <w:rFonts w:hint="eastAsia"/>
                <w:highlight w:val="none"/>
                <w:lang w:val="en-US" w:eastAsia="zh-CN"/>
              </w:rPr>
              <w:t>11</w:t>
            </w:r>
            <w:r>
              <w:rPr>
                <w:rFonts w:hint="eastAsia"/>
                <w:highlight w:val="none"/>
              </w:rPr>
              <w:t>日印发</w:t>
            </w:r>
            <w:r>
              <w:rPr>
                <w:rFonts w:hint="eastAsia"/>
                <w:highlight w:val="none"/>
                <w:lang w:val="en-US" w:eastAsia="zh-CN"/>
              </w:rPr>
              <w:t xml:space="preserve"> </w:t>
            </w:r>
          </w:p>
        </w:tc>
      </w:tr>
    </w:tbl>
    <w:p w14:paraId="59EB50E3">
      <w:pPr>
        <w:pStyle w:val="2"/>
        <w:ind w:left="0" w:leftChars="0" w:firstLine="0" w:firstLineChars="0"/>
        <w:rPr>
          <w:rFonts w:hint="default"/>
          <w:lang w:val="en-US" w:eastAsia="zh-CN"/>
        </w:rPr>
      </w:pPr>
    </w:p>
    <w:sectPr>
      <w:footerReference r:id="rId5" w:type="default"/>
      <w:footerReference r:id="rId6" w:type="even"/>
      <w:pgSz w:w="11906" w:h="16838"/>
      <w:pgMar w:top="1587" w:right="1417" w:bottom="1417" w:left="1417" w:header="851" w:footer="85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D2DB294-EA41-4821-B18A-28229DA1D8C7}"/>
  </w:font>
  <w:font w:name="微软雅黑">
    <w:panose1 w:val="020B0503020204020204"/>
    <w:charset w:val="86"/>
    <w:family w:val="auto"/>
    <w:pitch w:val="default"/>
    <w:sig w:usb0="80000287" w:usb1="280F3C52" w:usb2="00000016" w:usb3="00000000" w:csb0="0004001F" w:csb1="00000000"/>
    <w:embedRegular r:id="rId2" w:fontKey="{12307F04-48AD-48C4-B4FD-2C32B2F589B7}"/>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108B">
    <w:pPr>
      <w:tabs>
        <w:tab w:val="center" w:pos="4153"/>
        <w:tab w:val="right" w:pos="8306"/>
      </w:tabs>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7D83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A7D83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F97B">
    <w:pPr>
      <w:framePr w:wrap="around" w:vAnchor="text" w:hAnchor="margin" w:xAlign="center" w:y="1"/>
      <w:tabs>
        <w:tab w:val="center" w:pos="4153"/>
        <w:tab w:val="right" w:pos="8306"/>
      </w:tabs>
    </w:pPr>
    <w:r>
      <w:fldChar w:fldCharType="begin"/>
    </w:r>
    <w:r>
      <w:instrText xml:space="preserve">PAGE  </w:instrText>
    </w:r>
    <w:r>
      <w:fldChar w:fldCharType="end"/>
    </w:r>
  </w:p>
  <w:p w14:paraId="4D273E38">
    <w:pPr>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43A05"/>
    <w:multiLevelType w:val="singleLevel"/>
    <w:tmpl w:val="A3543A05"/>
    <w:lvl w:ilvl="0" w:tentative="0">
      <w:start w:val="2"/>
      <w:numFmt w:val="chineseCounting"/>
      <w:suff w:val="nothing"/>
      <w:lvlText w:val="%1、"/>
      <w:lvlJc w:val="left"/>
      <w:rPr>
        <w:rFonts w:hint="eastAsia"/>
      </w:rPr>
    </w:lvl>
  </w:abstractNum>
  <w:abstractNum w:abstractNumId="1">
    <w:nsid w:val="41132AC9"/>
    <w:multiLevelType w:val="multilevel"/>
    <w:tmpl w:val="41132AC9"/>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b/>
      </w:rPr>
    </w:lvl>
    <w:lvl w:ilvl="2" w:tentative="0">
      <w:start w:val="1"/>
      <w:numFmt w:val="decimal"/>
      <w:suff w:val="space"/>
      <w:lvlText w:val="%1.%2.%3"/>
      <w:lvlJc w:val="left"/>
      <w:pPr>
        <w:ind w:left="0" w:firstLine="0"/>
      </w:pPr>
      <w:rPr>
        <w:rFonts w:hint="eastAsia"/>
        <w:b/>
        <w:bCs w:val="0"/>
        <w:i w:val="0"/>
        <w:iCs w:val="0"/>
        <w:caps w:val="0"/>
        <w:smallCaps w:val="0"/>
        <w:strike w:val="0"/>
        <w:dstrike w:val="0"/>
        <w:color w:val="000000"/>
        <w:spacing w:val="0"/>
        <w:position w:val="0"/>
        <w:u w:val="none"/>
      </w:rPr>
    </w:lvl>
    <w:lvl w:ilvl="3" w:tentative="0">
      <w:start w:val="1"/>
      <w:numFmt w:val="decimal"/>
      <w:pStyle w:val="7"/>
      <w:suff w:val="space"/>
      <w:lvlText w:val="%1.%2.%3.%4"/>
      <w:lvlJc w:val="left"/>
      <w:pPr>
        <w:ind w:left="0" w:firstLine="0"/>
      </w:pPr>
      <w:rPr>
        <w:rFonts w:hint="eastAsia" w:ascii="Times New Roman" w:hAnsi="Times New Roman" w:cs="Times New Roman"/>
        <w:b/>
        <w:bCs w:val="0"/>
        <w:i w:val="0"/>
        <w:iCs w:val="0"/>
        <w:caps w:val="0"/>
        <w:smallCaps w:val="0"/>
        <w:strike w:val="0"/>
        <w:dstrike w:val="0"/>
        <w:color w:val="000000"/>
        <w:spacing w:val="0"/>
        <w:position w:val="0"/>
        <w:u w:val="none"/>
      </w:rPr>
    </w:lvl>
    <w:lvl w:ilvl="4" w:tentative="0">
      <w:start w:val="1"/>
      <w:numFmt w:val="decimal"/>
      <w:lvlText w:val="%1.%2.%3.%4.%5"/>
      <w:lvlJc w:val="left"/>
      <w:pPr>
        <w:tabs>
          <w:tab w:val="left" w:pos="720"/>
        </w:tabs>
        <w:ind w:left="720" w:firstLine="0"/>
      </w:pPr>
      <w:rPr>
        <w:rFonts w:hint="eastAsia" w:ascii="Times New Roman" w:hAnsi="Times New Roman" w:cs="Times New Roman"/>
        <w:b w:val="0"/>
        <w:bCs w:val="0"/>
        <w:i w:val="0"/>
        <w:iCs w:val="0"/>
        <w:caps w:val="0"/>
        <w:smallCaps w:val="0"/>
        <w:strike w:val="0"/>
        <w:dstrike w:val="0"/>
        <w:color w:val="000000"/>
        <w:spacing w:val="0"/>
        <w:position w:val="0"/>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mU4YmM1MTQ3ZDUyOWQxMDA5OGU4MmQ5YTNiMDAifQ=="/>
  </w:docVars>
  <w:rsids>
    <w:rsidRoot w:val="559F7E89"/>
    <w:rsid w:val="00285502"/>
    <w:rsid w:val="002D2788"/>
    <w:rsid w:val="00733C95"/>
    <w:rsid w:val="00DC19CB"/>
    <w:rsid w:val="00FF5095"/>
    <w:rsid w:val="012415C2"/>
    <w:rsid w:val="01423F24"/>
    <w:rsid w:val="017B4BBD"/>
    <w:rsid w:val="01A7022B"/>
    <w:rsid w:val="01B36BD0"/>
    <w:rsid w:val="01D1680C"/>
    <w:rsid w:val="01D55B47"/>
    <w:rsid w:val="01EE5E5A"/>
    <w:rsid w:val="01F6165D"/>
    <w:rsid w:val="02087A20"/>
    <w:rsid w:val="021C6C6C"/>
    <w:rsid w:val="02681D8C"/>
    <w:rsid w:val="02A91D81"/>
    <w:rsid w:val="02F373A7"/>
    <w:rsid w:val="03995481"/>
    <w:rsid w:val="03AD58A1"/>
    <w:rsid w:val="03CB7B24"/>
    <w:rsid w:val="0426756C"/>
    <w:rsid w:val="043A5387"/>
    <w:rsid w:val="044C024B"/>
    <w:rsid w:val="044E3BDF"/>
    <w:rsid w:val="046E4052"/>
    <w:rsid w:val="04D706D5"/>
    <w:rsid w:val="04E87704"/>
    <w:rsid w:val="05360CF3"/>
    <w:rsid w:val="059B31F8"/>
    <w:rsid w:val="059C64D5"/>
    <w:rsid w:val="05A9624A"/>
    <w:rsid w:val="05DD246D"/>
    <w:rsid w:val="05EC03F0"/>
    <w:rsid w:val="06911288"/>
    <w:rsid w:val="06F42B68"/>
    <w:rsid w:val="0743038F"/>
    <w:rsid w:val="07627F61"/>
    <w:rsid w:val="07857BC5"/>
    <w:rsid w:val="07872AC0"/>
    <w:rsid w:val="07921E93"/>
    <w:rsid w:val="07A01A45"/>
    <w:rsid w:val="07B216D8"/>
    <w:rsid w:val="07E643A6"/>
    <w:rsid w:val="0803567E"/>
    <w:rsid w:val="08592B0D"/>
    <w:rsid w:val="08991F59"/>
    <w:rsid w:val="08D31906"/>
    <w:rsid w:val="08F70236"/>
    <w:rsid w:val="09017F7A"/>
    <w:rsid w:val="09290201"/>
    <w:rsid w:val="09682A4F"/>
    <w:rsid w:val="096F7A09"/>
    <w:rsid w:val="09AE6015"/>
    <w:rsid w:val="09CD427B"/>
    <w:rsid w:val="09F31D9F"/>
    <w:rsid w:val="0A374430"/>
    <w:rsid w:val="0A3C63D0"/>
    <w:rsid w:val="0A4F7B1C"/>
    <w:rsid w:val="0B04049C"/>
    <w:rsid w:val="0B9B5B64"/>
    <w:rsid w:val="0BD02354"/>
    <w:rsid w:val="0BF77472"/>
    <w:rsid w:val="0C312BFA"/>
    <w:rsid w:val="0C8073F8"/>
    <w:rsid w:val="0C807E08"/>
    <w:rsid w:val="0CA35B13"/>
    <w:rsid w:val="0D216AEF"/>
    <w:rsid w:val="0D584A2C"/>
    <w:rsid w:val="0D5F5E5E"/>
    <w:rsid w:val="0D750F31"/>
    <w:rsid w:val="0DD706CE"/>
    <w:rsid w:val="0DF742E8"/>
    <w:rsid w:val="0E140D02"/>
    <w:rsid w:val="0E250E55"/>
    <w:rsid w:val="0E3A1F14"/>
    <w:rsid w:val="0E835FD7"/>
    <w:rsid w:val="0E865C80"/>
    <w:rsid w:val="0E926082"/>
    <w:rsid w:val="0EB465BD"/>
    <w:rsid w:val="0EB47119"/>
    <w:rsid w:val="0EEC178F"/>
    <w:rsid w:val="0F0C76AB"/>
    <w:rsid w:val="0F7D61F5"/>
    <w:rsid w:val="0F987405"/>
    <w:rsid w:val="0FA45DAA"/>
    <w:rsid w:val="0FC07E01"/>
    <w:rsid w:val="105F163E"/>
    <w:rsid w:val="10C15A17"/>
    <w:rsid w:val="11B00A36"/>
    <w:rsid w:val="11EB18C2"/>
    <w:rsid w:val="11EE50AB"/>
    <w:rsid w:val="12100067"/>
    <w:rsid w:val="12174036"/>
    <w:rsid w:val="12B207DE"/>
    <w:rsid w:val="12C8507C"/>
    <w:rsid w:val="12F82368"/>
    <w:rsid w:val="12FE404F"/>
    <w:rsid w:val="132F0080"/>
    <w:rsid w:val="133D09EF"/>
    <w:rsid w:val="13433851"/>
    <w:rsid w:val="136E2957"/>
    <w:rsid w:val="139042E6"/>
    <w:rsid w:val="1393060F"/>
    <w:rsid w:val="13CF3A9D"/>
    <w:rsid w:val="13F07810"/>
    <w:rsid w:val="14115C0D"/>
    <w:rsid w:val="141C6857"/>
    <w:rsid w:val="143E4A1F"/>
    <w:rsid w:val="14432035"/>
    <w:rsid w:val="14647F10"/>
    <w:rsid w:val="146741B0"/>
    <w:rsid w:val="149C2744"/>
    <w:rsid w:val="14A16D5C"/>
    <w:rsid w:val="14A95C11"/>
    <w:rsid w:val="14C40C02"/>
    <w:rsid w:val="14D50E39"/>
    <w:rsid w:val="14E56EB1"/>
    <w:rsid w:val="14E833C5"/>
    <w:rsid w:val="14EF6AF2"/>
    <w:rsid w:val="1515685C"/>
    <w:rsid w:val="15202377"/>
    <w:rsid w:val="15353F94"/>
    <w:rsid w:val="15864CBE"/>
    <w:rsid w:val="158B717A"/>
    <w:rsid w:val="15A30A8C"/>
    <w:rsid w:val="15AB0040"/>
    <w:rsid w:val="15AE7982"/>
    <w:rsid w:val="15F531F0"/>
    <w:rsid w:val="15F874A1"/>
    <w:rsid w:val="160B5ABA"/>
    <w:rsid w:val="16335416"/>
    <w:rsid w:val="16394E85"/>
    <w:rsid w:val="16590C32"/>
    <w:rsid w:val="16702E8A"/>
    <w:rsid w:val="16BF796D"/>
    <w:rsid w:val="16D60828"/>
    <w:rsid w:val="16E641C4"/>
    <w:rsid w:val="17203A97"/>
    <w:rsid w:val="17696FE0"/>
    <w:rsid w:val="177C2B6D"/>
    <w:rsid w:val="17B42592"/>
    <w:rsid w:val="17DD0A63"/>
    <w:rsid w:val="17F77252"/>
    <w:rsid w:val="18125C7A"/>
    <w:rsid w:val="188A223C"/>
    <w:rsid w:val="1892516D"/>
    <w:rsid w:val="18D766FA"/>
    <w:rsid w:val="194045ED"/>
    <w:rsid w:val="19632832"/>
    <w:rsid w:val="197167B0"/>
    <w:rsid w:val="19B17A41"/>
    <w:rsid w:val="19BC0290"/>
    <w:rsid w:val="19DD3EF8"/>
    <w:rsid w:val="19F73E81"/>
    <w:rsid w:val="1A8C2A62"/>
    <w:rsid w:val="1ADF413A"/>
    <w:rsid w:val="1AF04599"/>
    <w:rsid w:val="1B0C5089"/>
    <w:rsid w:val="1B2F580A"/>
    <w:rsid w:val="1B3A4B23"/>
    <w:rsid w:val="1B676D5F"/>
    <w:rsid w:val="1B6D3F86"/>
    <w:rsid w:val="1BAD4F54"/>
    <w:rsid w:val="1BB05AD7"/>
    <w:rsid w:val="1BE97638"/>
    <w:rsid w:val="1BF55770"/>
    <w:rsid w:val="1C3E3371"/>
    <w:rsid w:val="1C770AC4"/>
    <w:rsid w:val="1CA03525"/>
    <w:rsid w:val="1CAC3741"/>
    <w:rsid w:val="1D6762C4"/>
    <w:rsid w:val="1D681A07"/>
    <w:rsid w:val="1DB9579F"/>
    <w:rsid w:val="1DFB08D0"/>
    <w:rsid w:val="1E2A1857"/>
    <w:rsid w:val="1E4E67C0"/>
    <w:rsid w:val="1E6C5ADB"/>
    <w:rsid w:val="1EB55A71"/>
    <w:rsid w:val="1EC90F46"/>
    <w:rsid w:val="1EE70BAA"/>
    <w:rsid w:val="1EFA7794"/>
    <w:rsid w:val="1F0F3A80"/>
    <w:rsid w:val="1F2E5389"/>
    <w:rsid w:val="1F7040EE"/>
    <w:rsid w:val="1F7A6B27"/>
    <w:rsid w:val="1FC42DC7"/>
    <w:rsid w:val="1FFA3FF9"/>
    <w:rsid w:val="20027E8A"/>
    <w:rsid w:val="2060293B"/>
    <w:rsid w:val="20915ED7"/>
    <w:rsid w:val="209F7DAC"/>
    <w:rsid w:val="20BF0C96"/>
    <w:rsid w:val="20D73A5A"/>
    <w:rsid w:val="21020B82"/>
    <w:rsid w:val="210E39CB"/>
    <w:rsid w:val="21143B4C"/>
    <w:rsid w:val="21162880"/>
    <w:rsid w:val="21325C72"/>
    <w:rsid w:val="2137097C"/>
    <w:rsid w:val="214846C6"/>
    <w:rsid w:val="21B749D0"/>
    <w:rsid w:val="21E76BED"/>
    <w:rsid w:val="21E81F4C"/>
    <w:rsid w:val="21EC2644"/>
    <w:rsid w:val="21FE726F"/>
    <w:rsid w:val="2214244A"/>
    <w:rsid w:val="22181FF2"/>
    <w:rsid w:val="221B4C06"/>
    <w:rsid w:val="2224602D"/>
    <w:rsid w:val="22254F70"/>
    <w:rsid w:val="224F7DF7"/>
    <w:rsid w:val="225A7C8A"/>
    <w:rsid w:val="226002D5"/>
    <w:rsid w:val="22BA2122"/>
    <w:rsid w:val="22D54F67"/>
    <w:rsid w:val="23841D23"/>
    <w:rsid w:val="23925D1D"/>
    <w:rsid w:val="23D37805"/>
    <w:rsid w:val="23FF3832"/>
    <w:rsid w:val="243A6885"/>
    <w:rsid w:val="247F4FF4"/>
    <w:rsid w:val="24C0322E"/>
    <w:rsid w:val="24C93556"/>
    <w:rsid w:val="24D85EEB"/>
    <w:rsid w:val="255D78A2"/>
    <w:rsid w:val="25634F98"/>
    <w:rsid w:val="257974D5"/>
    <w:rsid w:val="25916AA4"/>
    <w:rsid w:val="25D328A4"/>
    <w:rsid w:val="25D65D28"/>
    <w:rsid w:val="25E1345C"/>
    <w:rsid w:val="260B587A"/>
    <w:rsid w:val="26117FA0"/>
    <w:rsid w:val="262275D1"/>
    <w:rsid w:val="2629095F"/>
    <w:rsid w:val="26357304"/>
    <w:rsid w:val="263C1438"/>
    <w:rsid w:val="26924756"/>
    <w:rsid w:val="26E0338E"/>
    <w:rsid w:val="26EC2707"/>
    <w:rsid w:val="270D7D6E"/>
    <w:rsid w:val="271B2112"/>
    <w:rsid w:val="273D3CE1"/>
    <w:rsid w:val="273F2C22"/>
    <w:rsid w:val="273F5085"/>
    <w:rsid w:val="27777B13"/>
    <w:rsid w:val="27871DE1"/>
    <w:rsid w:val="27B119B4"/>
    <w:rsid w:val="27C7045C"/>
    <w:rsid w:val="27F531EF"/>
    <w:rsid w:val="280B656E"/>
    <w:rsid w:val="280C6F05"/>
    <w:rsid w:val="283178CB"/>
    <w:rsid w:val="28696D35"/>
    <w:rsid w:val="288F5D7B"/>
    <w:rsid w:val="289B7569"/>
    <w:rsid w:val="28AA153E"/>
    <w:rsid w:val="28FC341A"/>
    <w:rsid w:val="2A1A0CEB"/>
    <w:rsid w:val="2A8B4E09"/>
    <w:rsid w:val="2A9D4879"/>
    <w:rsid w:val="2A9F2AF4"/>
    <w:rsid w:val="2AA14CA8"/>
    <w:rsid w:val="2AC121DF"/>
    <w:rsid w:val="2AD14B31"/>
    <w:rsid w:val="2AD57C80"/>
    <w:rsid w:val="2AF10F5C"/>
    <w:rsid w:val="2B0C7BEA"/>
    <w:rsid w:val="2B65243A"/>
    <w:rsid w:val="2B7649BE"/>
    <w:rsid w:val="2B833315"/>
    <w:rsid w:val="2BAA6116"/>
    <w:rsid w:val="2BDA2E28"/>
    <w:rsid w:val="2BE95FAD"/>
    <w:rsid w:val="2C275A9B"/>
    <w:rsid w:val="2C311477"/>
    <w:rsid w:val="2C421C7B"/>
    <w:rsid w:val="2C5D61AC"/>
    <w:rsid w:val="2C855069"/>
    <w:rsid w:val="2CA43435"/>
    <w:rsid w:val="2CED6B8B"/>
    <w:rsid w:val="2D000B7F"/>
    <w:rsid w:val="2D280BC1"/>
    <w:rsid w:val="2D3E15A4"/>
    <w:rsid w:val="2D9A22EF"/>
    <w:rsid w:val="2DD0519A"/>
    <w:rsid w:val="2E20215E"/>
    <w:rsid w:val="2E4072AA"/>
    <w:rsid w:val="2E521804"/>
    <w:rsid w:val="2E5D640D"/>
    <w:rsid w:val="2E82340D"/>
    <w:rsid w:val="2E9D5498"/>
    <w:rsid w:val="2E9F3BE2"/>
    <w:rsid w:val="2F67058E"/>
    <w:rsid w:val="2F7C3F50"/>
    <w:rsid w:val="2F8F7792"/>
    <w:rsid w:val="2FD22068"/>
    <w:rsid w:val="30221FB4"/>
    <w:rsid w:val="304A7159"/>
    <w:rsid w:val="304B1338"/>
    <w:rsid w:val="306C6018"/>
    <w:rsid w:val="30AB6B41"/>
    <w:rsid w:val="30C3032E"/>
    <w:rsid w:val="30E91417"/>
    <w:rsid w:val="30F069FA"/>
    <w:rsid w:val="30F83409"/>
    <w:rsid w:val="30FB32F8"/>
    <w:rsid w:val="317B4B1E"/>
    <w:rsid w:val="32052280"/>
    <w:rsid w:val="32985BF5"/>
    <w:rsid w:val="32E4458C"/>
    <w:rsid w:val="33071ADC"/>
    <w:rsid w:val="33405C86"/>
    <w:rsid w:val="334E34FC"/>
    <w:rsid w:val="33520B64"/>
    <w:rsid w:val="335A1288"/>
    <w:rsid w:val="336660D1"/>
    <w:rsid w:val="3401422B"/>
    <w:rsid w:val="341A5D77"/>
    <w:rsid w:val="34237336"/>
    <w:rsid w:val="3455090A"/>
    <w:rsid w:val="346A2584"/>
    <w:rsid w:val="348302F4"/>
    <w:rsid w:val="34A67003"/>
    <w:rsid w:val="34AC3775"/>
    <w:rsid w:val="34BB7587"/>
    <w:rsid w:val="34BD1541"/>
    <w:rsid w:val="34C42AA8"/>
    <w:rsid w:val="34C70C8A"/>
    <w:rsid w:val="34D038C0"/>
    <w:rsid w:val="35051296"/>
    <w:rsid w:val="350C1B78"/>
    <w:rsid w:val="35226409"/>
    <w:rsid w:val="355510D6"/>
    <w:rsid w:val="35614F37"/>
    <w:rsid w:val="35916E07"/>
    <w:rsid w:val="359A757A"/>
    <w:rsid w:val="3660217B"/>
    <w:rsid w:val="366E2AEA"/>
    <w:rsid w:val="36767719"/>
    <w:rsid w:val="368F1EED"/>
    <w:rsid w:val="36C56525"/>
    <w:rsid w:val="36EB32A4"/>
    <w:rsid w:val="36F02A16"/>
    <w:rsid w:val="374C17F7"/>
    <w:rsid w:val="377A54BF"/>
    <w:rsid w:val="37F237F8"/>
    <w:rsid w:val="37F877E0"/>
    <w:rsid w:val="38172D0E"/>
    <w:rsid w:val="3836588A"/>
    <w:rsid w:val="3860185A"/>
    <w:rsid w:val="389F6C5E"/>
    <w:rsid w:val="38B003A6"/>
    <w:rsid w:val="38B810AA"/>
    <w:rsid w:val="38E35EB9"/>
    <w:rsid w:val="390B59DF"/>
    <w:rsid w:val="39364032"/>
    <w:rsid w:val="399251D2"/>
    <w:rsid w:val="39E843EE"/>
    <w:rsid w:val="39F14134"/>
    <w:rsid w:val="3A0B5233"/>
    <w:rsid w:val="3A2A69FC"/>
    <w:rsid w:val="3A496523"/>
    <w:rsid w:val="3A7033B3"/>
    <w:rsid w:val="3A867BB1"/>
    <w:rsid w:val="3AA75770"/>
    <w:rsid w:val="3B5B73B5"/>
    <w:rsid w:val="3B950B19"/>
    <w:rsid w:val="3BBC1D7C"/>
    <w:rsid w:val="3C371BD0"/>
    <w:rsid w:val="3C805325"/>
    <w:rsid w:val="3D6F7148"/>
    <w:rsid w:val="3D9A2417"/>
    <w:rsid w:val="3DA26822"/>
    <w:rsid w:val="3DB86DD6"/>
    <w:rsid w:val="3DDC2BB6"/>
    <w:rsid w:val="3DE06A0F"/>
    <w:rsid w:val="3E713494"/>
    <w:rsid w:val="3E771221"/>
    <w:rsid w:val="3EC65EFB"/>
    <w:rsid w:val="3EC87493"/>
    <w:rsid w:val="3ECA6D2C"/>
    <w:rsid w:val="3ED87D75"/>
    <w:rsid w:val="3F2E2C1F"/>
    <w:rsid w:val="3F363F8B"/>
    <w:rsid w:val="3F7728BF"/>
    <w:rsid w:val="3F824E8C"/>
    <w:rsid w:val="3FAE5BF7"/>
    <w:rsid w:val="3FBE3C9E"/>
    <w:rsid w:val="40160B41"/>
    <w:rsid w:val="407A1888"/>
    <w:rsid w:val="40811207"/>
    <w:rsid w:val="4089777C"/>
    <w:rsid w:val="408A3C30"/>
    <w:rsid w:val="409F7D44"/>
    <w:rsid w:val="40C913D4"/>
    <w:rsid w:val="40CC5DE9"/>
    <w:rsid w:val="40E116DD"/>
    <w:rsid w:val="40F679C1"/>
    <w:rsid w:val="410E3E35"/>
    <w:rsid w:val="41534C28"/>
    <w:rsid w:val="41A650C0"/>
    <w:rsid w:val="41D10E53"/>
    <w:rsid w:val="41DD6A83"/>
    <w:rsid w:val="41E87F50"/>
    <w:rsid w:val="41E9719C"/>
    <w:rsid w:val="421676EB"/>
    <w:rsid w:val="42371BC0"/>
    <w:rsid w:val="42417305"/>
    <w:rsid w:val="42A11B51"/>
    <w:rsid w:val="42A94EAA"/>
    <w:rsid w:val="43100811"/>
    <w:rsid w:val="435E5746"/>
    <w:rsid w:val="437159C8"/>
    <w:rsid w:val="43AC79FF"/>
    <w:rsid w:val="43AD4526"/>
    <w:rsid w:val="43D60E26"/>
    <w:rsid w:val="43F841A9"/>
    <w:rsid w:val="442B201A"/>
    <w:rsid w:val="44401D87"/>
    <w:rsid w:val="444B22B5"/>
    <w:rsid w:val="44695E5B"/>
    <w:rsid w:val="447314CE"/>
    <w:rsid w:val="44865664"/>
    <w:rsid w:val="44881EA0"/>
    <w:rsid w:val="448A72F6"/>
    <w:rsid w:val="448E3562"/>
    <w:rsid w:val="44A469F6"/>
    <w:rsid w:val="44F945DA"/>
    <w:rsid w:val="4525412B"/>
    <w:rsid w:val="45384445"/>
    <w:rsid w:val="453F5652"/>
    <w:rsid w:val="457974BE"/>
    <w:rsid w:val="458C75D8"/>
    <w:rsid w:val="45A74DA6"/>
    <w:rsid w:val="45A9090B"/>
    <w:rsid w:val="45D264C6"/>
    <w:rsid w:val="460D2E36"/>
    <w:rsid w:val="461A2CA8"/>
    <w:rsid w:val="463D0E74"/>
    <w:rsid w:val="4651388E"/>
    <w:rsid w:val="465F41FD"/>
    <w:rsid w:val="46905A4C"/>
    <w:rsid w:val="46A97923"/>
    <w:rsid w:val="46C2744B"/>
    <w:rsid w:val="46C93599"/>
    <w:rsid w:val="46CD505E"/>
    <w:rsid w:val="48961A2D"/>
    <w:rsid w:val="48A155A1"/>
    <w:rsid w:val="48C742DC"/>
    <w:rsid w:val="48E17742"/>
    <w:rsid w:val="49084785"/>
    <w:rsid w:val="49676C4B"/>
    <w:rsid w:val="49690EEF"/>
    <w:rsid w:val="49835FF6"/>
    <w:rsid w:val="49934965"/>
    <w:rsid w:val="499E03EC"/>
    <w:rsid w:val="49BC54C3"/>
    <w:rsid w:val="49CD0C90"/>
    <w:rsid w:val="4A0E3C60"/>
    <w:rsid w:val="4A17247D"/>
    <w:rsid w:val="4A7077B2"/>
    <w:rsid w:val="4A8E1FAD"/>
    <w:rsid w:val="4A987224"/>
    <w:rsid w:val="4B4C0AC8"/>
    <w:rsid w:val="4B4D0C86"/>
    <w:rsid w:val="4B772501"/>
    <w:rsid w:val="4C1027F5"/>
    <w:rsid w:val="4C140938"/>
    <w:rsid w:val="4C4869B3"/>
    <w:rsid w:val="4C670FC4"/>
    <w:rsid w:val="4C811A39"/>
    <w:rsid w:val="4CBA7C02"/>
    <w:rsid w:val="4D187B9C"/>
    <w:rsid w:val="4D2E2B7B"/>
    <w:rsid w:val="4D4D782C"/>
    <w:rsid w:val="4D5F00C6"/>
    <w:rsid w:val="4D9C1893"/>
    <w:rsid w:val="4D9F26DC"/>
    <w:rsid w:val="4DC94652"/>
    <w:rsid w:val="4DDE1B7F"/>
    <w:rsid w:val="4E0A0EF3"/>
    <w:rsid w:val="4E0B6B58"/>
    <w:rsid w:val="4E34569A"/>
    <w:rsid w:val="4E4C75CE"/>
    <w:rsid w:val="4E663285"/>
    <w:rsid w:val="4E7B188C"/>
    <w:rsid w:val="4EA41E49"/>
    <w:rsid w:val="4EAD5D22"/>
    <w:rsid w:val="4EDA6CE4"/>
    <w:rsid w:val="4EE00BA7"/>
    <w:rsid w:val="4EE65F3F"/>
    <w:rsid w:val="4F1561E8"/>
    <w:rsid w:val="4F17434B"/>
    <w:rsid w:val="4F867E4E"/>
    <w:rsid w:val="501E2A33"/>
    <w:rsid w:val="504A7CCC"/>
    <w:rsid w:val="505A6944"/>
    <w:rsid w:val="50611DAF"/>
    <w:rsid w:val="50DD5D75"/>
    <w:rsid w:val="50E95A62"/>
    <w:rsid w:val="513E4376"/>
    <w:rsid w:val="51842D6A"/>
    <w:rsid w:val="51E647F7"/>
    <w:rsid w:val="520533FB"/>
    <w:rsid w:val="52143AFD"/>
    <w:rsid w:val="522B3DE7"/>
    <w:rsid w:val="52555569"/>
    <w:rsid w:val="52632E6E"/>
    <w:rsid w:val="52BE405A"/>
    <w:rsid w:val="52F263F9"/>
    <w:rsid w:val="52F91162"/>
    <w:rsid w:val="52FC2DD4"/>
    <w:rsid w:val="531204FD"/>
    <w:rsid w:val="53190FD9"/>
    <w:rsid w:val="53364538"/>
    <w:rsid w:val="53603F71"/>
    <w:rsid w:val="53765A26"/>
    <w:rsid w:val="53795DEA"/>
    <w:rsid w:val="5398647F"/>
    <w:rsid w:val="546F2AEB"/>
    <w:rsid w:val="5475533D"/>
    <w:rsid w:val="54CE3C4A"/>
    <w:rsid w:val="553920BD"/>
    <w:rsid w:val="55411B42"/>
    <w:rsid w:val="555A4369"/>
    <w:rsid w:val="5579019D"/>
    <w:rsid w:val="559A7F6C"/>
    <w:rsid w:val="559F7E89"/>
    <w:rsid w:val="55B347D2"/>
    <w:rsid w:val="55B81234"/>
    <w:rsid w:val="55BC3AD1"/>
    <w:rsid w:val="5611243C"/>
    <w:rsid w:val="56723939"/>
    <w:rsid w:val="56752603"/>
    <w:rsid w:val="56B03064"/>
    <w:rsid w:val="56BD1629"/>
    <w:rsid w:val="56D93B58"/>
    <w:rsid w:val="56FB049E"/>
    <w:rsid w:val="572823EA"/>
    <w:rsid w:val="575256B8"/>
    <w:rsid w:val="5773796F"/>
    <w:rsid w:val="579932E7"/>
    <w:rsid w:val="57B719BC"/>
    <w:rsid w:val="57C65626"/>
    <w:rsid w:val="57E478CE"/>
    <w:rsid w:val="588C0756"/>
    <w:rsid w:val="58B55C87"/>
    <w:rsid w:val="58C44394"/>
    <w:rsid w:val="58E45F93"/>
    <w:rsid w:val="58E73667"/>
    <w:rsid w:val="590929B0"/>
    <w:rsid w:val="591A79B6"/>
    <w:rsid w:val="59404E79"/>
    <w:rsid w:val="595A2602"/>
    <w:rsid w:val="595F65D1"/>
    <w:rsid w:val="598D123A"/>
    <w:rsid w:val="59B70E38"/>
    <w:rsid w:val="59CC706B"/>
    <w:rsid w:val="59F754D4"/>
    <w:rsid w:val="5A2447F3"/>
    <w:rsid w:val="5A39015A"/>
    <w:rsid w:val="5A517EA9"/>
    <w:rsid w:val="5A600D7D"/>
    <w:rsid w:val="5A663C6D"/>
    <w:rsid w:val="5AF116BD"/>
    <w:rsid w:val="5AFC50AF"/>
    <w:rsid w:val="5B0867BA"/>
    <w:rsid w:val="5B4F712A"/>
    <w:rsid w:val="5BA81DEA"/>
    <w:rsid w:val="5BB416EF"/>
    <w:rsid w:val="5BBB04C9"/>
    <w:rsid w:val="5C02145B"/>
    <w:rsid w:val="5C0F33DD"/>
    <w:rsid w:val="5C1E2DC4"/>
    <w:rsid w:val="5C500C07"/>
    <w:rsid w:val="5C591D09"/>
    <w:rsid w:val="5C883936"/>
    <w:rsid w:val="5CB762E9"/>
    <w:rsid w:val="5CE43684"/>
    <w:rsid w:val="5D014BFA"/>
    <w:rsid w:val="5D194829"/>
    <w:rsid w:val="5D3D64C3"/>
    <w:rsid w:val="5D4E06D0"/>
    <w:rsid w:val="5D6B68D5"/>
    <w:rsid w:val="5D8442C9"/>
    <w:rsid w:val="5DA66549"/>
    <w:rsid w:val="5DAF6B4D"/>
    <w:rsid w:val="5DFD637E"/>
    <w:rsid w:val="5E917EAA"/>
    <w:rsid w:val="5ECA634C"/>
    <w:rsid w:val="5EF452EC"/>
    <w:rsid w:val="5F230066"/>
    <w:rsid w:val="5F24314D"/>
    <w:rsid w:val="5F27080E"/>
    <w:rsid w:val="5F2D4723"/>
    <w:rsid w:val="5F313E05"/>
    <w:rsid w:val="5F3538F6"/>
    <w:rsid w:val="5F3E17D5"/>
    <w:rsid w:val="5F5E6D73"/>
    <w:rsid w:val="5F71128A"/>
    <w:rsid w:val="5F9347C8"/>
    <w:rsid w:val="5FB945CA"/>
    <w:rsid w:val="5FEA2220"/>
    <w:rsid w:val="60261ABA"/>
    <w:rsid w:val="6045671D"/>
    <w:rsid w:val="606D04A3"/>
    <w:rsid w:val="60AB3A08"/>
    <w:rsid w:val="60CE71E1"/>
    <w:rsid w:val="60D3786A"/>
    <w:rsid w:val="61052DF9"/>
    <w:rsid w:val="6130229A"/>
    <w:rsid w:val="61363955"/>
    <w:rsid w:val="61572249"/>
    <w:rsid w:val="61FA72DA"/>
    <w:rsid w:val="62485641"/>
    <w:rsid w:val="6256228E"/>
    <w:rsid w:val="6267026A"/>
    <w:rsid w:val="62765F75"/>
    <w:rsid w:val="62853361"/>
    <w:rsid w:val="6291742D"/>
    <w:rsid w:val="62A556D3"/>
    <w:rsid w:val="62B831C1"/>
    <w:rsid w:val="62BA4BEA"/>
    <w:rsid w:val="62C703A3"/>
    <w:rsid w:val="62CF68EA"/>
    <w:rsid w:val="63715BA8"/>
    <w:rsid w:val="63800D2E"/>
    <w:rsid w:val="63A159FD"/>
    <w:rsid w:val="63C91E94"/>
    <w:rsid w:val="64370110"/>
    <w:rsid w:val="643E32B9"/>
    <w:rsid w:val="64422D1C"/>
    <w:rsid w:val="64D9713B"/>
    <w:rsid w:val="650B0AFA"/>
    <w:rsid w:val="65415498"/>
    <w:rsid w:val="65627461"/>
    <w:rsid w:val="65711CFD"/>
    <w:rsid w:val="65A26A16"/>
    <w:rsid w:val="65C43C25"/>
    <w:rsid w:val="65CA32A0"/>
    <w:rsid w:val="65E77401"/>
    <w:rsid w:val="65FC33BF"/>
    <w:rsid w:val="66AA7F8F"/>
    <w:rsid w:val="66B861BB"/>
    <w:rsid w:val="66CB4B3F"/>
    <w:rsid w:val="66E612EE"/>
    <w:rsid w:val="66E63C24"/>
    <w:rsid w:val="66FE48B8"/>
    <w:rsid w:val="670C7632"/>
    <w:rsid w:val="671007B9"/>
    <w:rsid w:val="67391E88"/>
    <w:rsid w:val="675863D3"/>
    <w:rsid w:val="675D7CB8"/>
    <w:rsid w:val="67A41370"/>
    <w:rsid w:val="67A755AC"/>
    <w:rsid w:val="68040C57"/>
    <w:rsid w:val="68272D07"/>
    <w:rsid w:val="685D3A1F"/>
    <w:rsid w:val="686C514A"/>
    <w:rsid w:val="68B07C80"/>
    <w:rsid w:val="68D565A8"/>
    <w:rsid w:val="68E5013A"/>
    <w:rsid w:val="69AE7235"/>
    <w:rsid w:val="69D54F09"/>
    <w:rsid w:val="69EB0C64"/>
    <w:rsid w:val="6A147573"/>
    <w:rsid w:val="6A3F33A9"/>
    <w:rsid w:val="6A795B01"/>
    <w:rsid w:val="6A7B2288"/>
    <w:rsid w:val="6A8B35E2"/>
    <w:rsid w:val="6AD965D0"/>
    <w:rsid w:val="6AE57CC7"/>
    <w:rsid w:val="6AEA1981"/>
    <w:rsid w:val="6AFC6EF7"/>
    <w:rsid w:val="6B316589"/>
    <w:rsid w:val="6B384575"/>
    <w:rsid w:val="6B4152C9"/>
    <w:rsid w:val="6B511AB7"/>
    <w:rsid w:val="6B570121"/>
    <w:rsid w:val="6B637032"/>
    <w:rsid w:val="6B637A3C"/>
    <w:rsid w:val="6B7752F2"/>
    <w:rsid w:val="6BDB475D"/>
    <w:rsid w:val="6BFF1D07"/>
    <w:rsid w:val="6CC23F43"/>
    <w:rsid w:val="6CC24944"/>
    <w:rsid w:val="6CE71FCB"/>
    <w:rsid w:val="6D013069"/>
    <w:rsid w:val="6D703160"/>
    <w:rsid w:val="6E070B53"/>
    <w:rsid w:val="6E7B26F0"/>
    <w:rsid w:val="6E907650"/>
    <w:rsid w:val="6EAA69C0"/>
    <w:rsid w:val="6EBB68D3"/>
    <w:rsid w:val="6EEA6F2E"/>
    <w:rsid w:val="6F250797"/>
    <w:rsid w:val="6F326F97"/>
    <w:rsid w:val="6F3D0E01"/>
    <w:rsid w:val="6F5A6006"/>
    <w:rsid w:val="6F8C0561"/>
    <w:rsid w:val="6F8C45F4"/>
    <w:rsid w:val="6FA50623"/>
    <w:rsid w:val="6FAB560B"/>
    <w:rsid w:val="6FB50C27"/>
    <w:rsid w:val="6FBB353C"/>
    <w:rsid w:val="6FF40792"/>
    <w:rsid w:val="701570FF"/>
    <w:rsid w:val="705219E6"/>
    <w:rsid w:val="706359C1"/>
    <w:rsid w:val="707352C8"/>
    <w:rsid w:val="708F5FDD"/>
    <w:rsid w:val="70D22AF0"/>
    <w:rsid w:val="713E488C"/>
    <w:rsid w:val="713F4F2F"/>
    <w:rsid w:val="717C3022"/>
    <w:rsid w:val="719B0488"/>
    <w:rsid w:val="71B66B18"/>
    <w:rsid w:val="71C4090A"/>
    <w:rsid w:val="71D17800"/>
    <w:rsid w:val="71E116BB"/>
    <w:rsid w:val="727916F5"/>
    <w:rsid w:val="73090EC9"/>
    <w:rsid w:val="7375030D"/>
    <w:rsid w:val="7383454D"/>
    <w:rsid w:val="73A2470A"/>
    <w:rsid w:val="73C2117C"/>
    <w:rsid w:val="73E86ED0"/>
    <w:rsid w:val="74167DE3"/>
    <w:rsid w:val="7472484C"/>
    <w:rsid w:val="747B1E68"/>
    <w:rsid w:val="749F2E1A"/>
    <w:rsid w:val="74C82C83"/>
    <w:rsid w:val="750E0FD0"/>
    <w:rsid w:val="751F6034"/>
    <w:rsid w:val="754216C1"/>
    <w:rsid w:val="75BD124E"/>
    <w:rsid w:val="75C7203D"/>
    <w:rsid w:val="760635F5"/>
    <w:rsid w:val="764F693C"/>
    <w:rsid w:val="766A1C7F"/>
    <w:rsid w:val="767E63CD"/>
    <w:rsid w:val="770A0CC3"/>
    <w:rsid w:val="771E77B9"/>
    <w:rsid w:val="77592B9B"/>
    <w:rsid w:val="77F2439C"/>
    <w:rsid w:val="780954A3"/>
    <w:rsid w:val="782549A0"/>
    <w:rsid w:val="784F4498"/>
    <w:rsid w:val="78700FBA"/>
    <w:rsid w:val="788405CB"/>
    <w:rsid w:val="78D40721"/>
    <w:rsid w:val="78D6777B"/>
    <w:rsid w:val="794B3FEA"/>
    <w:rsid w:val="7962424D"/>
    <w:rsid w:val="79FC1788"/>
    <w:rsid w:val="7A0643B5"/>
    <w:rsid w:val="7A117F06"/>
    <w:rsid w:val="7A2134D3"/>
    <w:rsid w:val="7A4E57C8"/>
    <w:rsid w:val="7A7E03EF"/>
    <w:rsid w:val="7A85177D"/>
    <w:rsid w:val="7A876F0E"/>
    <w:rsid w:val="7A9B4AFD"/>
    <w:rsid w:val="7B3D6D3E"/>
    <w:rsid w:val="7B7315D6"/>
    <w:rsid w:val="7B746C71"/>
    <w:rsid w:val="7B8117A9"/>
    <w:rsid w:val="7B8351D1"/>
    <w:rsid w:val="7BED7813"/>
    <w:rsid w:val="7C1E31F3"/>
    <w:rsid w:val="7C9000FA"/>
    <w:rsid w:val="7CAD6D69"/>
    <w:rsid w:val="7CCB5CE3"/>
    <w:rsid w:val="7CCB7A7E"/>
    <w:rsid w:val="7D5E0B05"/>
    <w:rsid w:val="7D9F624B"/>
    <w:rsid w:val="7D9F7B3D"/>
    <w:rsid w:val="7DB078EA"/>
    <w:rsid w:val="7DC96951"/>
    <w:rsid w:val="7E3D77F4"/>
    <w:rsid w:val="7E4342AC"/>
    <w:rsid w:val="7E536ABA"/>
    <w:rsid w:val="7E5E47BF"/>
    <w:rsid w:val="7E8537CD"/>
    <w:rsid w:val="7E93025D"/>
    <w:rsid w:val="7EAA0BE4"/>
    <w:rsid w:val="7EC73A39"/>
    <w:rsid w:val="7F0D131B"/>
    <w:rsid w:val="7F82628B"/>
    <w:rsid w:val="7F9336FF"/>
    <w:rsid w:val="7F9C2A34"/>
    <w:rsid w:val="7FB20DB0"/>
    <w:rsid w:val="7FFC3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4">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微软雅黑" w:hAnsi="微软雅黑" w:eastAsia="微软雅黑" w:cs="微软雅黑"/>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qFormat/>
    <w:uiPriority w:val="0"/>
    <w:pPr>
      <w:keepNext/>
      <w:keepLines/>
      <w:numPr>
        <w:ilvl w:val="3"/>
        <w:numId w:val="1"/>
      </w:numPr>
      <w:spacing w:line="360" w:lineRule="auto"/>
      <w:jc w:val="left"/>
      <w:outlineLvl w:val="3"/>
    </w:pPr>
    <w:rPr>
      <w:b/>
      <w:bCs/>
      <w:sz w:val="24"/>
    </w:rPr>
  </w:style>
  <w:style w:type="character" w:default="1" w:styleId="12">
    <w:name w:val="Default Paragraph Font"/>
    <w:semiHidden/>
    <w:qFormat/>
    <w:uiPriority w:val="0"/>
    <w:rPr>
      <w:rFonts w:ascii="Tahoma" w:hAnsi="Tahoma"/>
      <w:sz w:val="28"/>
      <w:szCs w:val="20"/>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420" w:lineRule="exact"/>
      <w:ind w:left="0" w:leftChars="0" w:firstLine="420"/>
    </w:pPr>
    <w:rPr>
      <w:rFonts w:ascii="仿宋_GB2312" w:eastAsia="Times New Roman"/>
      <w:sz w:val="24"/>
    </w:rPr>
  </w:style>
  <w:style w:type="paragraph" w:styleId="3">
    <w:name w:val="Body Text Indent"/>
    <w:basedOn w:val="1"/>
    <w:unhideWhenUsed/>
    <w:qFormat/>
    <w:uiPriority w:val="0"/>
    <w:pPr>
      <w:spacing w:after="120"/>
      <w:ind w:left="420" w:leftChars="200"/>
    </w:pPr>
  </w:style>
  <w:style w:type="paragraph" w:styleId="8">
    <w:name w:val="footer"/>
    <w:basedOn w:val="1"/>
    <w:qFormat/>
    <w:uiPriority w:val="0"/>
    <w:pPr>
      <w:tabs>
        <w:tab w:val="center" w:pos="4153"/>
        <w:tab w:val="right" w:pos="8306"/>
      </w:tabs>
      <w:snapToGrid w:val="0"/>
      <w:ind w:firstLine="0" w:firstLineChars="0"/>
      <w:jc w:val="left"/>
    </w:pPr>
    <w:rPr>
      <w:sz w:val="24"/>
      <w:szCs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正文+宋体4"/>
    <w:basedOn w:val="10"/>
    <w:qFormat/>
    <w:uiPriority w:val="99"/>
    <w:pPr>
      <w:widowControl w:val="0"/>
      <w:jc w:val="center"/>
    </w:pPr>
    <w:rPr>
      <w:szCs w:val="21"/>
    </w:rPr>
    <w:tblPr>
      <w:tblBorders>
        <w:top w:val="single" w:color="auto" w:sz="12" w:space="0"/>
        <w:bottom w:val="single" w:color="auto" w:sz="12" w:space="0"/>
        <w:insideH w:val="single" w:color="auto" w:sz="6" w:space="0"/>
        <w:insideV w:val="single" w:color="auto" w:sz="6" w:space="0"/>
      </w:tblBorders>
      <w:tblCellMar>
        <w:top w:w="0" w:type="dxa"/>
        <w:left w:w="108" w:type="dxa"/>
        <w:bottom w:w="0" w:type="dxa"/>
        <w:right w:w="108" w:type="dxa"/>
      </w:tblCellMar>
    </w:tblPr>
    <w:tcPr>
      <w:tcMar>
        <w:left w:w="28" w:type="dxa"/>
        <w:right w:w="28" w:type="dxa"/>
      </w:tcMar>
      <w:vAlign w:val="center"/>
    </w:tcPr>
  </w:style>
  <w:style w:type="paragraph" w:customStyle="1" w:styleId="14">
    <w:name w:val="环评批文文号"/>
    <w:basedOn w:val="1"/>
    <w:qFormat/>
    <w:uiPriority w:val="0"/>
    <w:pPr>
      <w:spacing w:before="1520" w:after="100" w:afterLines="100" w:line="600" w:lineRule="exact"/>
      <w:ind w:firstLine="0" w:firstLineChars="0"/>
      <w:jc w:val="right"/>
      <w:outlineLvl w:val="9"/>
    </w:pPr>
    <w:rPr>
      <w:rFonts w:hint="eastAsia"/>
      <w:color w:val="000000"/>
    </w:rPr>
  </w:style>
  <w:style w:type="paragraph" w:customStyle="1" w:styleId="15">
    <w:name w:val="主送机关"/>
    <w:basedOn w:val="1"/>
    <w:next w:val="1"/>
    <w:qFormat/>
    <w:uiPriority w:val="0"/>
    <w:pPr>
      <w:spacing w:line="600" w:lineRule="exact"/>
      <w:ind w:firstLine="0" w:firstLineChars="0"/>
      <w:outlineLvl w:val="9"/>
    </w:pPr>
    <w:rPr>
      <w:rFonts w:hint="eastAsia"/>
      <w:color w:val="000000"/>
    </w:rPr>
  </w:style>
  <w:style w:type="paragraph" w:customStyle="1" w:styleId="16">
    <w:name w:val="抄送单位"/>
    <w:basedOn w:val="1"/>
    <w:next w:val="1"/>
    <w:qFormat/>
    <w:uiPriority w:val="0"/>
    <w:pPr>
      <w:wordWrap w:val="0"/>
      <w:spacing w:line="600" w:lineRule="exact"/>
      <w:ind w:firstLine="0" w:firstLineChars="0"/>
      <w:jc w:val="left"/>
      <w:outlineLvl w:val="9"/>
    </w:pPr>
    <w:rPr>
      <w:rFonts w:hint="eastAsia"/>
      <w:color w:val="000000"/>
      <w:sz w:val="32"/>
      <w:szCs w:val="30"/>
    </w:rPr>
  </w:style>
  <w:style w:type="paragraph" w:customStyle="1" w:styleId="17">
    <w:name w:val="表格内容"/>
    <w:basedOn w:val="1"/>
    <w:qFormat/>
    <w:uiPriority w:val="0"/>
    <w:pPr>
      <w:spacing w:line="240" w:lineRule="auto"/>
      <w:ind w:firstLine="0" w:firstLineChars="0"/>
      <w:jc w:val="center"/>
    </w:pPr>
    <w:rPr>
      <w:sz w:val="21"/>
    </w:rPr>
  </w:style>
  <w:style w:type="paragraph" w:customStyle="1" w:styleId="18">
    <w:name w:val="z表格内文字"/>
    <w:basedOn w:val="1"/>
    <w:qFormat/>
    <w:uiPriority w:val="0"/>
    <w:pPr>
      <w:jc w:val="center"/>
    </w:pPr>
    <w:rPr>
      <w:color w:val="000000"/>
    </w:rPr>
  </w:style>
  <w:style w:type="paragraph" w:customStyle="1" w:styleId="19">
    <w:name w:val="6表格"/>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4150</Words>
  <Characters>4465</Characters>
  <Lines>0</Lines>
  <Paragraphs>0</Paragraphs>
  <TotalTime>123</TotalTime>
  <ScaleCrop>false</ScaleCrop>
  <LinksUpToDate>false</LinksUpToDate>
  <CharactersWithSpaces>4489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2018-08-21T07:06:00Z</dcterms:created>
  <dc:creator>Yuri</dc:creator>
  <cp:lastModifiedBy>ccw</cp:lastModifiedBy>
  <cp:lastPrinted>2024-12-11T07:35:00Z</cp:lastPrinted>
  <dcterms:modified xsi:type="dcterms:W3CDTF">2024-12-26T07:49:46Z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3614D924B6354A2199AB4EC64F4002E8_13</vt:lpwstr>
  </property>
</Properties>
</file>