
<file path=[Content_Types].xml><?xml version="1.0" encoding="utf-8"?>
<Types xmlns="http://schemas.openxmlformats.org/package/2006/content-types">
  <Default Extension="xml" ContentType="application/xml"/>
  <Default Extension="wmf" ContentType="image/x-wmf"/>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21"/>
        <w:tblpPr w:leftFromText="180" w:rightFromText="180" w:vertAnchor="page" w:horzAnchor="page" w:tblpX="992" w:tblpY="178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51" w:hRule="atLeast"/>
          <w:hidden/>
        </w:trPr>
        <w:tc>
          <w:tcPr>
            <w:tcW w:w="9867" w:type="dxa"/>
            <w:noWrap w:val="0"/>
            <w:vAlign w:val="center"/>
          </w:tcPr>
          <w:p>
            <w:pPr>
              <w:adjustRightInd w:val="0"/>
              <w:snapToGrid w:val="0"/>
              <w:spacing w:line="240" w:lineRule="auto"/>
              <w:jc w:val="both"/>
              <w:rPr>
                <w:rFonts w:hint="eastAsia" w:ascii="方正小标宋_GBK" w:hAnsi="方正小标宋_GBK" w:eastAsia="方正小标宋_GBK" w:cs="方正小标宋_GBK"/>
                <w:b w:val="0"/>
                <w:bCs w:val="0"/>
                <w:vanish w:val="0"/>
                <w:color w:val="FF0000"/>
                <w:spacing w:val="0"/>
                <w:w w:val="100"/>
                <w:sz w:val="72"/>
                <w:szCs w:val="96"/>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132" w:hRule="atLeast"/>
          <w:hidden/>
        </w:trPr>
        <w:tc>
          <w:tcPr>
            <w:tcW w:w="9867" w:type="dxa"/>
            <w:noWrap w:val="0"/>
            <w:vAlign w:val="center"/>
          </w:tcPr>
          <w:tbl>
            <w:tblPr>
              <w:tblStyle w:val="2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391" w:hRule="atLeast"/>
                <w:jc w:val="center"/>
                <w:hidden/>
              </w:trPr>
              <w:tc>
                <w:tcPr>
                  <w:tcW w:w="10280" w:type="dxa"/>
                  <w:noWrap w:val="0"/>
                  <w:vAlign w:val="center"/>
                </w:tcPr>
                <w:p>
                  <w:pPr>
                    <w:adjustRightInd w:val="0"/>
                    <w:snapToGrid w:val="0"/>
                    <w:spacing w:line="240" w:lineRule="auto"/>
                    <w:jc w:val="center"/>
                    <w:rPr>
                      <w:rFonts w:hint="eastAsia" w:ascii="方正小标宋_GBK" w:hAnsi="方正小标宋_GBK" w:eastAsia="方正小标宋_GBK" w:cs="方正小标宋_GBK"/>
                      <w:b w:val="0"/>
                      <w:bCs w:val="0"/>
                      <w:vanish w:val="0"/>
                      <w:color w:val="FF0000"/>
                      <w:spacing w:val="0"/>
                      <w:w w:val="100"/>
                      <w:sz w:val="84"/>
                      <w:szCs w:val="108"/>
                      <w:lang w:eastAsia="zh-CN"/>
                    </w:rPr>
                  </w:pPr>
                  <w:r>
                    <w:rPr>
                      <w:rFonts w:hint="eastAsia" w:ascii="宋体" w:hAnsi="宋体" w:eastAsia="宋体" w:cs="宋体"/>
                      <w:b/>
                      <w:bCs/>
                      <w:vanish w:val="0"/>
                      <w:color w:val="FF0000"/>
                      <w:spacing w:val="-20"/>
                      <w:w w:val="60"/>
                      <w:sz w:val="112"/>
                      <w:szCs w:val="112"/>
                      <w:lang w:val="en-US" w:eastAsia="zh-CN"/>
                    </w:rPr>
                    <w:t>福州市仓山区人民政府办公室文件</w:t>
                  </w:r>
                </w:p>
              </w:tc>
            </w:tr>
          </w:tbl>
          <w:p>
            <w:pPr>
              <w:adjustRightInd w:val="0"/>
              <w:snapToGrid w:val="0"/>
              <w:spacing w:line="240" w:lineRule="auto"/>
              <w:jc w:val="center"/>
              <w:rPr>
                <w:rFonts w:hint="eastAsia" w:ascii="方正小标宋_GBK" w:hAnsi="方正小标宋_GBK" w:eastAsia="方正小标宋_GBK" w:cs="方正小标宋_GBK"/>
                <w:b w:val="0"/>
                <w:bCs w:val="0"/>
                <w:vanish w:val="0"/>
                <w:color w:val="FF0000"/>
                <w:spacing w:val="-20"/>
                <w:w w:val="66"/>
                <w:sz w:val="84"/>
                <w:szCs w:val="10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7" w:hRule="atLeast"/>
          <w:hidden/>
        </w:trPr>
        <w:tc>
          <w:tcPr>
            <w:tcW w:w="9867" w:type="dxa"/>
            <w:noWrap w:val="0"/>
            <w:vAlign w:val="center"/>
          </w:tcPr>
          <w:p>
            <w:pPr>
              <w:spacing w:line="240" w:lineRule="auto"/>
              <w:jc w:val="both"/>
              <w:rPr>
                <w:rFonts w:hint="eastAsia" w:ascii="仿宋_GB2312" w:hAnsi="仿宋_GB2312" w:eastAsia="仿宋_GB2312" w:cs="仿宋_GB2312"/>
                <w:vanish w:val="0"/>
                <w:color w:val="000000"/>
                <w:sz w:val="32"/>
              </w:rPr>
            </w:pPr>
          </w:p>
          <w:p>
            <w:pPr>
              <w:spacing w:line="240" w:lineRule="auto"/>
              <w:jc w:val="center"/>
              <w:rPr>
                <w:rFonts w:hint="eastAsia" w:ascii="仿宋_GB2312" w:hAnsi="方正仿宋_GBK"/>
                <w:vanish w:val="0"/>
                <w:lang w:val="en-US" w:eastAsia="zh-CN"/>
              </w:rPr>
            </w:pPr>
            <w:r>
              <w:rPr>
                <w:rFonts w:hint="eastAsia" w:ascii="仿宋_GB2312" w:hAnsi="仿宋_GB2312" w:eastAsia="仿宋_GB2312" w:cs="仿宋_GB2312"/>
                <w:vanish w:val="0"/>
                <w:color w:val="000000"/>
                <w:spacing w:val="0"/>
                <w:sz w:val="32"/>
              </w:rPr>
              <w:t>仓政</w:t>
            </w:r>
            <w:r>
              <w:rPr>
                <w:rFonts w:hint="eastAsia" w:ascii="仿宋_GB2312" w:hAnsi="仿宋_GB2312" w:eastAsia="仿宋_GB2312" w:cs="仿宋_GB2312"/>
                <w:vanish w:val="0"/>
                <w:color w:val="000000"/>
                <w:spacing w:val="0"/>
                <w:sz w:val="32"/>
                <w:lang w:eastAsia="zh-CN"/>
              </w:rPr>
              <w:t>办</w:t>
            </w:r>
            <w:r>
              <w:rPr>
                <w:rFonts w:hint="eastAsia" w:ascii="仿宋_GB2312" w:hAnsi="仿宋_GB2312" w:eastAsia="仿宋_GB2312" w:cs="仿宋_GB2312"/>
                <w:vanish w:val="0"/>
                <w:color w:val="000000"/>
                <w:spacing w:val="0"/>
                <w:sz w:val="32"/>
              </w:rPr>
              <w:t>〔20</w:t>
            </w:r>
            <w:r>
              <w:rPr>
                <w:rFonts w:hint="eastAsia" w:ascii="仿宋_GB2312" w:hAnsi="仿宋_GB2312" w:cs="仿宋_GB2312"/>
                <w:vanish w:val="0"/>
                <w:color w:val="000000"/>
                <w:spacing w:val="0"/>
                <w:sz w:val="32"/>
                <w:lang w:val="en-US" w:eastAsia="zh-CN"/>
              </w:rPr>
              <w:t>22</w:t>
            </w:r>
            <w:r>
              <w:rPr>
                <w:rFonts w:hint="eastAsia" w:ascii="仿宋_GB2312" w:hAnsi="仿宋_GB2312" w:eastAsia="仿宋_GB2312" w:cs="仿宋_GB2312"/>
                <w:vanish w:val="0"/>
                <w:color w:val="000000"/>
                <w:spacing w:val="0"/>
                <w:sz w:val="32"/>
              </w:rPr>
              <w:t>〕</w:t>
            </w:r>
            <w:r>
              <w:rPr>
                <w:rFonts w:hint="eastAsia" w:ascii="仿宋_GB2312" w:hAnsi="仿宋_GB2312" w:cs="仿宋_GB2312"/>
                <w:vanish w:val="0"/>
                <w:color w:val="000000"/>
                <w:spacing w:val="0"/>
                <w:sz w:val="32"/>
                <w:lang w:val="en-US" w:eastAsia="zh-CN"/>
              </w:rPr>
              <w:t>143</w:t>
            </w:r>
            <w:r>
              <w:rPr>
                <w:rFonts w:hint="eastAsia" w:ascii="仿宋_GB2312" w:hAnsi="仿宋_GB2312" w:eastAsia="仿宋_GB2312" w:cs="仿宋_GB2312"/>
                <w:vanish w:val="0"/>
                <w:color w:val="000000"/>
                <w:spacing w:val="0"/>
                <w:sz w:val="32"/>
              </w:rPr>
              <w:t>号</w:t>
            </w:r>
            <w:r>
              <w:rPr>
                <w:rFonts w:hint="eastAsia" w:ascii="仿宋_GB2312" w:hAnsi="仿宋_GB2312" w:cs="仿宋_GB2312"/>
                <w:vanish w:val="0"/>
                <w:color w:val="000000"/>
                <w:spacing w:val="0"/>
                <w:sz w:val="32"/>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exact"/>
          <w:hidden/>
        </w:trPr>
        <w:tc>
          <w:tcPr>
            <w:tcW w:w="9867" w:type="dxa"/>
            <w:noWrap w:val="0"/>
            <w:vAlign w:val="center"/>
          </w:tcPr>
          <w:p>
            <w:pPr>
              <w:spacing w:line="240" w:lineRule="auto"/>
              <w:jc w:val="center"/>
              <w:rPr>
                <w:rFonts w:hint="eastAsia" w:ascii="方正仿宋_GBK" w:hAnsi="方正仿宋_GBK"/>
                <w:b/>
                <w:vanish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44" w:hRule="atLeast"/>
          <w:hidden/>
        </w:trPr>
        <w:tc>
          <w:tcPr>
            <w:tcW w:w="986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_GBK" w:hAnsi="宋体" w:eastAsia="方正小标宋_GBK"/>
                <w:vanish w:val="0"/>
                <w:sz w:val="44"/>
              </w:rPr>
            </w:pPr>
            <w:r>
              <w:rPr>
                <w:rFonts w:hint="eastAsia" w:ascii="方正小标宋_GBK" w:hAnsi="方正小标宋_GBK" w:eastAsia="方正小标宋_GBK" w:cs="方正小标宋_GBK"/>
                <w:vanish w:val="0"/>
                <w:sz w:val="21"/>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170180</wp:posOffset>
                      </wp:positionV>
                      <wp:extent cx="6415405" cy="19685"/>
                      <wp:effectExtent l="0" t="10795" r="10795" b="20320"/>
                      <wp:wrapNone/>
                      <wp:docPr id="2" name="DocMarkLine"/>
                      <wp:cNvGraphicFramePr/>
                      <a:graphic xmlns:a="http://schemas.openxmlformats.org/drawingml/2006/main">
                        <a:graphicData uri="http://schemas.microsoft.com/office/word/2010/wordprocessingShape">
                          <wps:wsp>
                            <wps:cNvSpPr/>
                            <wps:spPr>
                              <a:xfrm>
                                <a:off x="0" y="0"/>
                                <a:ext cx="6415405" cy="19685"/>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DocMarkLine" o:spid="_x0000_s1026" o:spt="20" style="position:absolute;left:0pt;margin-left:-4.5pt;margin-top:13.4pt;height:1.55pt;width:505.15pt;z-index:251660288;mso-width-relative:page;mso-height-relative:page;" filled="f" stroked="t" coordsize="21600,21600" o:gfxdata="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kEu3PYAAAACQEA&#10;AA8AAAAAAAAAAQAgAAAAIgAAAGRycy9kb3ducmV2LnhtbFBLAQIUABQAAAAIAIdO4kCFhAME4QEA&#10;AOMDAAAOAAAAAAAAAAEAIAAAACcBAABkcnMvZTJvRG9jLnhtbFBLBQYAAAAABgAGAFkBAAB6BQAA&#10;AAA=&#10;">
                      <v:fill on="f" focussize="0,0"/>
                      <v:stroke weight="1.75pt" color="#FF0000" joinstyle="round"/>
                      <v:imagedata o:title=""/>
                      <o:lock v:ext="edit" aspectratio="f"/>
                    </v:line>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25" w:hRule="atLeast"/>
          <w:hidden/>
        </w:trPr>
        <w:tc>
          <w:tcPr>
            <w:tcW w:w="986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val="0"/>
                <w:vanish w:val="0"/>
                <w:sz w:val="44"/>
                <w:szCs w:val="20"/>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napToGrid w:val="0"/>
          <w:spacing w:val="0"/>
          <w:kern w:val="0"/>
          <w:sz w:val="44"/>
          <w:szCs w:val="44"/>
        </w:rPr>
      </w:pPr>
      <w:r>
        <w:rPr>
          <w:rFonts w:hint="eastAsia" w:ascii="方正小标宋简体" w:hAnsi="方正小标宋简体" w:eastAsia="方正小标宋简体" w:cs="方正小标宋简体"/>
          <w:snapToGrid w:val="0"/>
          <w:spacing w:val="0"/>
          <w:kern w:val="0"/>
          <w:sz w:val="44"/>
          <w:szCs w:val="44"/>
        </w:rPr>
        <w:t>福州市仓山区人民政府办公室关于印发</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napToGrid w:val="0"/>
          <w:spacing w:val="0"/>
          <w:kern w:val="0"/>
          <w:sz w:val="44"/>
          <w:szCs w:val="44"/>
        </w:rPr>
      </w:pPr>
      <w:r>
        <w:rPr>
          <w:rFonts w:hint="eastAsia" w:ascii="方正小标宋简体" w:hAnsi="方正小标宋简体" w:eastAsia="方正小标宋简体" w:cs="方正小标宋简体"/>
          <w:snapToGrid w:val="0"/>
          <w:spacing w:val="0"/>
          <w:kern w:val="0"/>
          <w:sz w:val="44"/>
          <w:szCs w:val="44"/>
        </w:rPr>
        <w:t>仓山区克服疫情影响决胜年末收官战</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snapToGrid w:val="0"/>
          <w:spacing w:val="0"/>
          <w:kern w:val="0"/>
          <w:sz w:val="44"/>
          <w:szCs w:val="44"/>
        </w:rPr>
      </w:pPr>
      <w:r>
        <w:rPr>
          <w:rFonts w:hint="eastAsia" w:ascii="方正小标宋简体" w:hAnsi="方正小标宋简体" w:eastAsia="方正小标宋简体" w:cs="方正小标宋简体"/>
          <w:snapToGrid w:val="0"/>
          <w:spacing w:val="0"/>
          <w:kern w:val="0"/>
          <w:sz w:val="44"/>
          <w:szCs w:val="44"/>
        </w:rPr>
        <w:t>行动方案的通知</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rPr>
      </w:pPr>
      <w:r>
        <w:rPr>
          <w:rFonts w:hint="eastAsia" w:ascii="仿宋" w:hAnsi="仿宋" w:eastAsia="仿宋"/>
        </w:rPr>
        <w:t xml:space="preserve"> </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sz w:val="32"/>
          <w:szCs w:val="32"/>
        </w:rPr>
      </w:pPr>
      <w:bookmarkStart w:id="0" w:name="_GoBack"/>
      <w:r>
        <w:rPr>
          <w:rFonts w:hint="eastAsia" w:ascii="仿宋" w:hAnsi="仿宋" w:eastAsia="仿宋" w:cs="仿宋"/>
          <w:sz w:val="32"/>
          <w:szCs w:val="32"/>
        </w:rPr>
        <w:t>各镇人民政府</w:t>
      </w:r>
      <w:r>
        <w:rPr>
          <w:rFonts w:hint="eastAsia" w:ascii="仿宋" w:hAnsi="仿宋" w:eastAsia="仿宋" w:cs="仿宋"/>
          <w:kern w:val="0"/>
          <w:sz w:val="32"/>
          <w:szCs w:val="32"/>
        </w:rPr>
        <w:t>、街道办事处</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区直各办、局（公司），金山工</w:t>
      </w:r>
      <w:r>
        <w:rPr>
          <w:rFonts w:hint="eastAsia" w:ascii="仿宋" w:hAnsi="仿宋" w:eastAsia="仿宋" w:cs="仿宋"/>
          <w:sz w:val="32"/>
          <w:szCs w:val="32"/>
        </w:rPr>
        <w:t>业园区管委会、</w:t>
      </w:r>
      <w:r>
        <w:rPr>
          <w:rFonts w:hint="eastAsia" w:ascii="仿宋" w:hAnsi="仿宋" w:eastAsia="仿宋" w:cs="仿宋"/>
          <w:sz w:val="32"/>
          <w:szCs w:val="32"/>
          <w:lang w:eastAsia="zh-CN"/>
        </w:rPr>
        <w:t>福州</w:t>
      </w:r>
      <w:r>
        <w:rPr>
          <w:rFonts w:hint="eastAsia" w:ascii="仿宋" w:hAnsi="仿宋" w:eastAsia="仿宋" w:cs="仿宋"/>
          <w:sz w:val="32"/>
          <w:szCs w:val="32"/>
        </w:rPr>
        <w:t>新区仓山功能区管委会:</w:t>
      </w:r>
    </w:p>
    <w:p>
      <w:pPr>
        <w:keepNext w:val="0"/>
        <w:keepLines w:val="0"/>
        <w:pageBreakBefore w:val="0"/>
        <w:widowControl w:val="0"/>
        <w:kinsoku/>
        <w:wordWrap/>
        <w:overflowPunct/>
        <w:topLinePunct w:val="0"/>
        <w:autoSpaceDE/>
        <w:autoSpaceDN/>
        <w:bidi w:val="0"/>
        <w:adjustRightInd/>
        <w:snapToGrid w:val="0"/>
        <w:spacing w:line="560" w:lineRule="exact"/>
        <w:ind w:firstLine="634"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《仓山区克服疫情影响决胜年末收官战行动方案》已经区政府同意，现印发给你们，请认真抓好贯彻执行。</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特此通知。</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59264" behindDoc="1" locked="0" layoutInCell="1" allowOverlap="1">
            <wp:simplePos x="0" y="0"/>
            <wp:positionH relativeFrom="page">
              <wp:posOffset>4090670</wp:posOffset>
            </wp:positionH>
            <wp:positionV relativeFrom="page">
              <wp:posOffset>7880985</wp:posOffset>
            </wp:positionV>
            <wp:extent cx="1238250" cy="1238250"/>
            <wp:effectExtent l="0" t="0" r="6350" b="6350"/>
            <wp:wrapNone/>
            <wp:docPr id="1" name="图片 6" descr="qt_temp{4bfabde4-9b63-4858-8507-25cfe2a67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qt_temp{4bfabde4-9b63-4858-8507-25cfe2a67a84}"/>
                    <pic:cNvPicPr>
                      <a:picLocks noChangeAspect="1"/>
                    </pic:cNvPicPr>
                  </pic:nvPicPr>
                  <pic:blipFill>
                    <a:blip r:embed="rId8"/>
                    <a:stretch>
                      <a:fillRect/>
                    </a:stretch>
                  </pic:blipFill>
                  <pic:spPr>
                    <a:xfrm>
                      <a:off x="0" y="0"/>
                      <a:ext cx="1238250" cy="123825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ascii="仿宋" w:hAnsi="仿宋" w:eastAsia="仿宋" w:cs="仿宋"/>
          <w:sz w:val="32"/>
          <w:szCs w:val="32"/>
        </w:rPr>
      </w:pPr>
      <w:r>
        <w:rPr>
          <w:rFonts w:hint="eastAsia" w:ascii="仿宋" w:hAnsi="仿宋" w:eastAsia="仿宋" w:cs="仿宋"/>
          <w:sz w:val="32"/>
          <w:szCs w:val="32"/>
        </w:rPr>
        <w:t xml:space="preserve">                         福州市仓山区人民政府办公室</w:t>
      </w:r>
    </w:p>
    <w:p>
      <w:pPr>
        <w:keepNext w:val="0"/>
        <w:keepLines w:val="0"/>
        <w:pageBreakBefore w:val="0"/>
        <w:widowControl w:val="0"/>
        <w:tabs>
          <w:tab w:val="left" w:pos="1050"/>
        </w:tabs>
        <w:kinsoku/>
        <w:wordWrap/>
        <w:overflowPunct/>
        <w:topLinePunct w:val="0"/>
        <w:autoSpaceDE/>
        <w:autoSpaceDN/>
        <w:bidi w:val="0"/>
        <w:adjustRightInd/>
        <w:snapToGrid/>
        <w:spacing w:line="560" w:lineRule="exact"/>
        <w:ind w:left="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w:t>
      </w:r>
      <w:r>
        <w:rPr>
          <w:rFonts w:ascii="仿宋" w:hAnsi="仿宋" w:eastAsia="仿宋" w:cs="仿宋"/>
          <w:sz w:val="32"/>
          <w:szCs w:val="32"/>
        </w:rPr>
        <w:t>02</w:t>
      </w:r>
      <w:r>
        <w:rPr>
          <w:rFonts w:hint="eastAsia" w:ascii="仿宋" w:hAnsi="仿宋" w:eastAsia="仿宋" w:cs="仿宋"/>
          <w:sz w:val="32"/>
          <w:szCs w:val="32"/>
        </w:rPr>
        <w:t>2年</w:t>
      </w:r>
      <w:r>
        <w:rPr>
          <w:rFonts w:ascii="仿宋" w:hAnsi="仿宋" w:eastAsia="仿宋" w:cs="仿宋"/>
          <w:sz w:val="32"/>
          <w:szCs w:val="32"/>
        </w:rPr>
        <w:t>11</w:t>
      </w:r>
      <w:r>
        <w:rPr>
          <w:rFonts w:hint="eastAsia" w:ascii="仿宋" w:hAnsi="仿宋" w:eastAsia="仿宋" w:cs="仿宋"/>
          <w:sz w:val="32"/>
          <w:szCs w:val="32"/>
        </w:rPr>
        <w:t>月</w:t>
      </w:r>
      <w:r>
        <w:rPr>
          <w:rFonts w:ascii="仿宋" w:hAnsi="仿宋" w:eastAsia="仿宋" w:cs="仿宋"/>
          <w:sz w:val="32"/>
          <w:szCs w:val="32"/>
        </w:rPr>
        <w:t>18</w:t>
      </w:r>
      <w:r>
        <w:rPr>
          <w:rFonts w:hint="eastAsia" w:ascii="仿宋" w:hAnsi="仿宋" w:eastAsia="仿宋" w:cs="仿宋"/>
          <w:sz w:val="32"/>
          <w:szCs w:val="32"/>
        </w:rPr>
        <w:t>日</w:t>
      </w:r>
    </w:p>
    <w:bookmarkEnd w:id="0"/>
    <w:p>
      <w:pPr>
        <w:keepNext w:val="0"/>
        <w:keepLines w:val="0"/>
        <w:pageBreakBefore w:val="0"/>
        <w:tabs>
          <w:tab w:val="left" w:pos="1050"/>
        </w:tabs>
        <w:kinsoku/>
        <w:overflowPunct/>
        <w:topLinePunct w:val="0"/>
        <w:autoSpaceDE/>
        <w:autoSpaceDN/>
        <w:bidi w:val="0"/>
        <w:adjustRightInd/>
        <w:snapToGrid/>
        <w:spacing w:line="600" w:lineRule="exact"/>
        <w:ind w:left="0"/>
        <w:jc w:val="both"/>
        <w:textAlignment w:val="auto"/>
        <w:rPr>
          <w:rFonts w:ascii="楷体" w:hAnsi="楷体" w:eastAsia="楷体" w:cs="楷体"/>
          <w:b/>
          <w:bCs/>
          <w:spacing w:val="20"/>
          <w:kern w:val="10"/>
          <w:sz w:val="32"/>
          <w:szCs w:val="32"/>
          <w:highlight w:val="none"/>
          <w:u w:val="none" w:color="auto"/>
        </w:rPr>
      </w:pPr>
      <w:r>
        <w:rPr>
          <w:rFonts w:hint="eastAsia" w:ascii="楷体" w:hAnsi="楷体" w:eastAsia="楷体" w:cs="楷体"/>
          <w:b/>
          <w:bCs/>
          <w:spacing w:val="20"/>
          <w:kern w:val="10"/>
          <w:sz w:val="32"/>
          <w:szCs w:val="32"/>
          <w:highlight w:val="none"/>
          <w:u w:val="none" w:color="auto"/>
        </w:rPr>
        <w:t xml:space="preserve">                            </w:t>
      </w:r>
    </w:p>
    <w:p>
      <w:pPr>
        <w:keepNext w:val="0"/>
        <w:keepLines w:val="0"/>
        <w:pageBreakBefore w:val="0"/>
        <w:kinsoku/>
        <w:wordWrap/>
        <w:overflowPunct/>
        <w:topLinePunct w:val="0"/>
        <w:autoSpaceDE/>
        <w:autoSpaceDN/>
        <w:bidi w:val="0"/>
        <w:snapToGrid w:val="0"/>
        <w:spacing w:line="600" w:lineRule="exact"/>
        <w:jc w:val="center"/>
        <w:rPr>
          <w:rFonts w:hint="eastAsia" w:ascii="方正小标宋简体" w:hAnsi="方正小标宋简体" w:eastAsia="方正小标宋简体" w:cs="方正小标宋简体"/>
          <w:spacing w:val="-6"/>
          <w:sz w:val="44"/>
          <w:szCs w:val="52"/>
        </w:rPr>
      </w:pPr>
    </w:p>
    <w:p>
      <w:pPr>
        <w:keepNext w:val="0"/>
        <w:keepLines w:val="0"/>
        <w:pageBreakBefore w:val="0"/>
        <w:kinsoku/>
        <w:wordWrap/>
        <w:overflowPunct/>
        <w:topLinePunct w:val="0"/>
        <w:autoSpaceDE/>
        <w:autoSpaceDN/>
        <w:bidi w:val="0"/>
        <w:snapToGrid w:val="0"/>
        <w:spacing w:line="560" w:lineRule="exact"/>
        <w:jc w:val="center"/>
        <w:rPr>
          <w:rFonts w:hint="eastAsia" w:ascii="方正小标宋简体" w:hAnsi="方正小标宋简体" w:eastAsia="方正小标宋简体" w:cs="方正小标宋简体"/>
          <w:spacing w:val="-6"/>
          <w:sz w:val="44"/>
          <w:szCs w:val="52"/>
        </w:rPr>
      </w:pPr>
    </w:p>
    <w:p>
      <w:pPr>
        <w:keepNext w:val="0"/>
        <w:keepLines w:val="0"/>
        <w:pageBreakBefore w:val="0"/>
        <w:kinsoku/>
        <w:wordWrap/>
        <w:overflowPunct/>
        <w:topLinePunct w:val="0"/>
        <w:autoSpaceDE/>
        <w:autoSpaceDN/>
        <w:bidi w:val="0"/>
        <w:snapToGrid w:val="0"/>
        <w:spacing w:line="560" w:lineRule="exact"/>
        <w:jc w:val="center"/>
        <w:rPr>
          <w:rFonts w:hint="eastAsia" w:ascii="方正小标宋简体" w:hAnsi="方正小标宋简体" w:eastAsia="方正小标宋简体" w:cs="方正小标宋简体"/>
          <w:spacing w:val="-6"/>
          <w:sz w:val="44"/>
          <w:szCs w:val="52"/>
        </w:rPr>
      </w:pPr>
      <w:r>
        <w:rPr>
          <w:rFonts w:hint="eastAsia" w:ascii="方正小标宋简体" w:hAnsi="方正小标宋简体" w:eastAsia="方正小标宋简体" w:cs="方正小标宋简体"/>
          <w:spacing w:val="-6"/>
          <w:sz w:val="44"/>
          <w:szCs w:val="52"/>
        </w:rPr>
        <w:t>仓山区克服疫情影响决胜年末收官战行动方案</w:t>
      </w:r>
    </w:p>
    <w:p>
      <w:pPr>
        <w:keepNext w:val="0"/>
        <w:keepLines w:val="0"/>
        <w:pageBreakBefore w:val="0"/>
        <w:kinsoku/>
        <w:wordWrap/>
        <w:overflowPunct/>
        <w:topLinePunct w:val="0"/>
        <w:autoSpaceDE/>
        <w:autoSpaceDN/>
        <w:bidi w:val="0"/>
        <w:snapToGrid w:val="0"/>
        <w:spacing w:line="560" w:lineRule="exact"/>
        <w:ind w:firstLine="634" w:firstLineChars="200"/>
        <w:jc w:val="both"/>
        <w:rPr>
          <w:rFonts w:hint="eastAsia" w:ascii="仿宋" w:hAnsi="仿宋" w:eastAsia="仿宋" w:cs="仿宋"/>
          <w:sz w:val="32"/>
          <w:szCs w:val="40"/>
        </w:rPr>
      </w:pPr>
    </w:p>
    <w:p>
      <w:pPr>
        <w:keepNext w:val="0"/>
        <w:keepLines w:val="0"/>
        <w:pageBreakBefore w:val="0"/>
        <w:kinsoku/>
        <w:wordWrap/>
        <w:overflowPunct/>
        <w:topLinePunct w:val="0"/>
        <w:autoSpaceDE/>
        <w:autoSpaceDN/>
        <w:bidi w:val="0"/>
        <w:snapToGrid w:val="0"/>
        <w:spacing w:line="560" w:lineRule="exact"/>
        <w:ind w:firstLine="634" w:firstLineChars="200"/>
        <w:jc w:val="both"/>
        <w:rPr>
          <w:rFonts w:hint="eastAsia" w:ascii="仿宋" w:hAnsi="仿宋" w:eastAsia="仿宋" w:cs="仿宋"/>
          <w:sz w:val="32"/>
          <w:szCs w:val="40"/>
        </w:rPr>
      </w:pPr>
      <w:r>
        <w:rPr>
          <w:rFonts w:hint="eastAsia" w:ascii="仿宋" w:hAnsi="仿宋" w:eastAsia="仿宋" w:cs="仿宋"/>
          <w:sz w:val="32"/>
          <w:szCs w:val="40"/>
        </w:rPr>
        <w:t>为全面落实省发改委《关于支持福州市积极应对新冠肺炎疫情影响帮助市场主体纾困解难的若干措施》(闽发改工业〔2022〕625号)、市政府办《关于印发福州市克服疫情影响决胜年末收官战行动方案的通知》（榕政办规〔2022〕13号），按照区委、区政府决策部署，攻坚克难、凝心聚力，努力克服疫情影响，决胜年末收官战，特制定本行动方案。</w:t>
      </w:r>
    </w:p>
    <w:p>
      <w:pPr>
        <w:keepNext w:val="0"/>
        <w:keepLines w:val="0"/>
        <w:pageBreakBefore w:val="0"/>
        <w:kinsoku/>
        <w:wordWrap/>
        <w:overflowPunct/>
        <w:topLinePunct w:val="0"/>
        <w:autoSpaceDE/>
        <w:autoSpaceDN/>
        <w:bidi w:val="0"/>
        <w:snapToGrid w:val="0"/>
        <w:spacing w:line="560" w:lineRule="exact"/>
        <w:ind w:firstLine="634" w:firstLineChars="200"/>
        <w:jc w:val="both"/>
        <w:rPr>
          <w:rFonts w:hint="eastAsia" w:ascii="黑体" w:hAnsi="黑体" w:eastAsia="黑体" w:cs="黑体"/>
          <w:sz w:val="32"/>
          <w:szCs w:val="40"/>
        </w:rPr>
      </w:pPr>
      <w:r>
        <w:rPr>
          <w:rFonts w:hint="eastAsia" w:ascii="黑体" w:hAnsi="黑体" w:eastAsia="黑体" w:cs="黑体"/>
          <w:sz w:val="32"/>
          <w:szCs w:val="40"/>
        </w:rPr>
        <w:t>一、工作目标</w:t>
      </w:r>
    </w:p>
    <w:p>
      <w:pPr>
        <w:keepNext w:val="0"/>
        <w:keepLines w:val="0"/>
        <w:pageBreakBefore w:val="0"/>
        <w:kinsoku/>
        <w:wordWrap/>
        <w:overflowPunct/>
        <w:topLinePunct w:val="0"/>
        <w:autoSpaceDE/>
        <w:autoSpaceDN/>
        <w:bidi w:val="0"/>
        <w:snapToGrid w:val="0"/>
        <w:spacing w:line="560" w:lineRule="exact"/>
        <w:ind w:firstLine="634" w:firstLineChars="200"/>
        <w:jc w:val="both"/>
        <w:rPr>
          <w:rFonts w:hint="eastAsia" w:ascii="仿宋" w:hAnsi="仿宋" w:eastAsia="仿宋" w:cs="仿宋"/>
          <w:sz w:val="32"/>
          <w:szCs w:val="40"/>
        </w:rPr>
      </w:pPr>
      <w:r>
        <w:rPr>
          <w:rFonts w:hint="eastAsia" w:ascii="仿宋" w:hAnsi="仿宋" w:eastAsia="仿宋" w:cs="仿宋"/>
          <w:sz w:val="32"/>
          <w:szCs w:val="40"/>
        </w:rPr>
        <w:t>深入贯彻党的二十大精神，认真落实习近平总书记来闽考察重要讲话精神，坚决落实“疫情要防住、经济要稳住、发展要安全”重要要求，从11月中旬至年底奋战五十天，咬紧牙关、持续攻坚，坚持稳中求进工作总基调，坚持“3820”战略工程思想精髓，统筹疫情防控和经济社会发展，提高效率、提升效能、提增效益，多措并举做好稳增长、稳市场主体、保就业、防风险等工作，推动全区经济平稳健康发展，为明年经济良好开局奠定坚实基础，加快打造现代化国际城市先行示范区。</w:t>
      </w:r>
    </w:p>
    <w:p>
      <w:pPr>
        <w:keepNext w:val="0"/>
        <w:keepLines w:val="0"/>
        <w:pageBreakBefore w:val="0"/>
        <w:kinsoku/>
        <w:wordWrap/>
        <w:overflowPunct/>
        <w:topLinePunct w:val="0"/>
        <w:autoSpaceDE/>
        <w:autoSpaceDN/>
        <w:bidi w:val="0"/>
        <w:snapToGrid w:val="0"/>
        <w:spacing w:line="560" w:lineRule="exact"/>
        <w:ind w:firstLine="634" w:firstLineChars="200"/>
        <w:jc w:val="both"/>
        <w:rPr>
          <w:rFonts w:hint="eastAsia" w:ascii="黑体" w:hAnsi="黑体" w:eastAsia="黑体" w:cs="黑体"/>
          <w:sz w:val="32"/>
          <w:szCs w:val="40"/>
        </w:rPr>
      </w:pPr>
      <w:r>
        <w:rPr>
          <w:rFonts w:hint="eastAsia" w:ascii="黑体" w:hAnsi="黑体" w:eastAsia="黑体" w:cs="黑体"/>
          <w:sz w:val="32"/>
          <w:szCs w:val="40"/>
        </w:rPr>
        <w:t>二、主要措施</w:t>
      </w:r>
    </w:p>
    <w:p>
      <w:pPr>
        <w:pStyle w:val="18"/>
        <w:keepNext w:val="0"/>
        <w:keepLines w:val="0"/>
        <w:pageBreakBefore w:val="0"/>
        <w:kinsoku/>
        <w:wordWrap/>
        <w:overflowPunct/>
        <w:topLinePunct w:val="0"/>
        <w:autoSpaceDE/>
        <w:autoSpaceDN/>
        <w:bidi w:val="0"/>
        <w:spacing w:line="560" w:lineRule="exact"/>
        <w:ind w:firstLine="634" w:firstLineChars="200"/>
        <w:jc w:val="both"/>
        <w:rPr>
          <w:rStyle w:val="24"/>
          <w:rFonts w:hint="eastAsia" w:ascii="楷体_GB2312" w:hAnsi="楷体_GB2312" w:eastAsia="楷体_GB2312" w:cs="楷体_GB2312"/>
          <w:b w:val="0"/>
          <w:bCs/>
          <w:sz w:val="32"/>
          <w:szCs w:val="32"/>
        </w:rPr>
      </w:pPr>
      <w:r>
        <w:rPr>
          <w:rStyle w:val="24"/>
          <w:rFonts w:hint="eastAsia" w:ascii="楷体_GB2312" w:hAnsi="楷体_GB2312" w:eastAsia="楷体_GB2312" w:cs="楷体_GB2312"/>
          <w:b w:val="0"/>
          <w:bCs/>
          <w:sz w:val="32"/>
          <w:szCs w:val="32"/>
        </w:rPr>
        <w:t>（一）强产业稳增长专项行动</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eastAsia="仿宋_GB2312"/>
          <w:sz w:val="32"/>
          <w:szCs w:val="32"/>
        </w:rPr>
      </w:pPr>
      <w:r>
        <w:rPr>
          <w:rFonts w:hint="eastAsia" w:ascii="仿宋_GB2312" w:hAnsi="仿宋_GB2312" w:eastAsia="仿宋_GB2312" w:cs="仿宋_GB2312"/>
          <w:b/>
          <w:bCs/>
          <w:color w:val="000000"/>
          <w:spacing w:val="18"/>
          <w:sz w:val="32"/>
          <w:szCs w:val="32"/>
        </w:rPr>
        <w:t>1.冲刺第四季度工业经济稳增长计划。</w:t>
      </w:r>
      <w:r>
        <w:rPr>
          <w:rFonts w:hint="eastAsia" w:ascii="仿宋" w:hAnsi="仿宋" w:eastAsia="仿宋" w:cs="仿宋"/>
          <w:sz w:val="32"/>
          <w:szCs w:val="40"/>
        </w:rPr>
        <w:t>落实“防疫情稳增长”挂钩联系机制，加大产业链供应链“白名单”企业、工业龙头企业等重点企业一对一挂钩服务。深入实施产业链链长制，以链主企业带动上下游中小微企业稳步恢复，促进工业重点企业高质量发展。积极出台2022年第四季度工业企业增产增效稳增长政策，支持企业增产增效、基础设施建设、科研投入、人才引进、技术改造、开拓市场等方面工作，重振工业企业生产信心。(责任单位：区工信局、发改局等）</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eastAsia="仿宋_GB2312"/>
          <w:sz w:val="32"/>
          <w:szCs w:val="32"/>
        </w:rPr>
      </w:pPr>
      <w:r>
        <w:rPr>
          <w:rFonts w:hint="eastAsia" w:ascii="仿宋_GB2312" w:hAnsi="仿宋_GB2312" w:eastAsia="仿宋_GB2312" w:cs="仿宋_GB2312"/>
          <w:b/>
          <w:bCs/>
          <w:color w:val="000000"/>
          <w:spacing w:val="18"/>
          <w:sz w:val="32"/>
          <w:szCs w:val="32"/>
        </w:rPr>
        <w:t>2.支持企业技改扩能。</w:t>
      </w:r>
      <w:r>
        <w:rPr>
          <w:rFonts w:hint="eastAsia" w:ascii="仿宋" w:hAnsi="仿宋" w:eastAsia="仿宋" w:cs="仿宋"/>
          <w:sz w:val="32"/>
          <w:szCs w:val="40"/>
        </w:rPr>
        <w:t>聚焦企业技改，突出数字化升级、绿色化转型、服务化改造、高端化发展，加快制造业转型升级。积极指导企业申报省市重点技术改造项目，做到符合条件的技术改造项目应报尽报。对于符合福州市技改补助政策条件的工业重点项目，我区提高补助标准，在市级补助的基础上，按照3%给予配套奖励，单个企业最高补助100万。（责任单位：区工信局、财政局等）</w:t>
      </w:r>
    </w:p>
    <w:p>
      <w:pPr>
        <w:pStyle w:val="18"/>
        <w:keepNext w:val="0"/>
        <w:keepLines w:val="0"/>
        <w:pageBreakBefore w:val="0"/>
        <w:kinsoku/>
        <w:wordWrap/>
        <w:overflowPunct/>
        <w:topLinePunct w:val="0"/>
        <w:autoSpaceDE/>
        <w:autoSpaceDN/>
        <w:bidi w:val="0"/>
        <w:spacing w:line="560" w:lineRule="exact"/>
        <w:ind w:firstLine="730" w:firstLineChars="200"/>
        <w:jc w:val="both"/>
        <w:rPr>
          <w:rFonts w:ascii="仿宋_GB2312" w:eastAsia="仿宋_GB2312"/>
          <w:sz w:val="32"/>
          <w:szCs w:val="32"/>
        </w:rPr>
      </w:pPr>
      <w:r>
        <w:rPr>
          <w:rFonts w:hint="eastAsia" w:ascii="仿宋_GB2312" w:hAnsi="仿宋_GB2312" w:eastAsia="仿宋_GB2312" w:cs="仿宋_GB2312"/>
          <w:b/>
          <w:bCs/>
          <w:color w:val="000000"/>
          <w:spacing w:val="18"/>
          <w:sz w:val="32"/>
          <w:szCs w:val="32"/>
        </w:rPr>
        <w:t>3.推进园区标准化建设。</w:t>
      </w:r>
      <w:r>
        <w:rPr>
          <w:rFonts w:hint="eastAsia" w:ascii="仿宋" w:hAnsi="仿宋" w:eastAsia="仿宋" w:cs="仿宋"/>
          <w:sz w:val="32"/>
          <w:szCs w:val="40"/>
        </w:rPr>
        <w:t>加快工业园区“共享区”建设，推行园区建设项目极简审批“四即”改革，健全园区基础设施、功能配套、公共服务，推动优质资源要素集聚，加快特色优势主导产业发展。推动政府收储提升，加快橘园片区C、D地块建设，进一步拓展园区发展空间，积极引进新一代信息技术、生物医药产业优质工业企业，增强发展新动能。推动企业自主提升，推动中能电气、鑫扬动力、依强珠宝等5家自主提升企业加快建设，加快推进已批未建的海源华创、麝珠明、福顺半导体等5家企业尽快办理施工许可证，尽快投产，力争2022年建成50万平方米标准厂房。（责任单位：区工信局）</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eastAsia="仿宋_GB2312"/>
          <w:sz w:val="32"/>
          <w:szCs w:val="32"/>
        </w:rPr>
      </w:pPr>
      <w:r>
        <w:rPr>
          <w:rFonts w:hint="eastAsia" w:ascii="仿宋_GB2312" w:hAnsi="仿宋_GB2312" w:eastAsia="仿宋_GB2312" w:cs="仿宋_GB2312"/>
          <w:b/>
          <w:bCs/>
          <w:color w:val="000000"/>
          <w:spacing w:val="18"/>
          <w:sz w:val="32"/>
          <w:szCs w:val="32"/>
        </w:rPr>
        <w:t>4.实施“榕升计划”。</w:t>
      </w:r>
      <w:r>
        <w:rPr>
          <w:rFonts w:hint="eastAsia" w:ascii="仿宋" w:hAnsi="仿宋" w:eastAsia="仿宋" w:cs="仿宋"/>
          <w:sz w:val="32"/>
          <w:szCs w:val="40"/>
        </w:rPr>
        <w:t>实施提升奖励等方面政策，按照全年新提升规模以上工业企业53家的力争目标，尽最大努力，确保能提尽提、应统尽统。(责任单位：区工信局）</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hAnsi="仿宋_GB2312" w:eastAsia="仿宋_GB2312" w:cs="仿宋_GB2312"/>
          <w:b/>
          <w:bCs/>
          <w:spacing w:val="18"/>
          <w:sz w:val="32"/>
          <w:szCs w:val="32"/>
        </w:rPr>
      </w:pPr>
      <w:r>
        <w:rPr>
          <w:rFonts w:hint="eastAsia" w:ascii="仿宋_GB2312" w:hAnsi="仿宋_GB2312" w:eastAsia="仿宋_GB2312" w:cs="仿宋_GB2312"/>
          <w:b/>
          <w:bCs/>
          <w:color w:val="000000"/>
          <w:spacing w:val="18"/>
          <w:sz w:val="32"/>
          <w:szCs w:val="32"/>
        </w:rPr>
        <w:t>5.推动建筑业增产增效。</w:t>
      </w:r>
      <w:r>
        <w:rPr>
          <w:rFonts w:hint="eastAsia" w:ascii="仿宋" w:hAnsi="仿宋" w:eastAsia="仿宋" w:cs="仿宋"/>
          <w:sz w:val="32"/>
          <w:szCs w:val="40"/>
        </w:rPr>
        <w:t>用好《福州市建筑业招商培育专项工作实施方案》、《福州市建筑业经济高质量发展的工作意见》、《福州市城乡建设局关于统筹疫情防控和经济发展促进建筑业增产增效的通知》等政策文件，推动企业发展。做好服务保障工作，促重点项目落地开工，力争全年实现建筑业产值增速12%，新增纳统建筑业企业20家。（责任单位：区建设局）</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eastAsia="仿宋_GB2312"/>
          <w:sz w:val="32"/>
          <w:szCs w:val="32"/>
        </w:rPr>
      </w:pPr>
      <w:r>
        <w:rPr>
          <w:rFonts w:hint="eastAsia" w:ascii="仿宋_GB2312" w:hAnsi="仿宋_GB2312" w:eastAsia="仿宋_GB2312" w:cs="仿宋_GB2312"/>
          <w:b/>
          <w:bCs/>
          <w:color w:val="000000"/>
          <w:spacing w:val="18"/>
          <w:sz w:val="32"/>
          <w:szCs w:val="32"/>
        </w:rPr>
        <w:t>6.促进服务业提质扩容。</w:t>
      </w:r>
      <w:r>
        <w:rPr>
          <w:rFonts w:hint="eastAsia" w:ascii="仿宋" w:hAnsi="仿宋" w:eastAsia="仿宋" w:cs="仿宋"/>
          <w:sz w:val="32"/>
          <w:szCs w:val="40"/>
        </w:rPr>
        <w:t>加快服务业集聚区建设，谋划生成产业链延伸和高端先进的服务业项目。推动物流与供应链平台经济产业链建设，初步形成购销供应链体系，力争全年规模30亿元以上供应链平台达1个，培育33个供应链平台全年销售额突破300亿元。加快平台经济集聚发展，到年底新引进3个平台经济项目，推动总数超30个。加大指导和帮扶力度，力争全年限下转限上企业170家。鼓励金融机构加大信贷投放，深入实施“榕腾计划”“金仓计划”，积极与券商、会所、律所建立合作关系，争取深交所、上交所及省市有关金融部门的帮助指导，提供全链条“店小二”上市服务，配合市金融局加大“险资入榕”工作力度，巩固金融业发展势头。（责任单位：区商务局、金融办等）</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hAnsi="仿宋_GB2312" w:eastAsia="仿宋_GB2312" w:cs="仿宋_GB2312"/>
          <w:b/>
          <w:bCs/>
          <w:color w:val="000000"/>
          <w:spacing w:val="18"/>
          <w:sz w:val="32"/>
          <w:szCs w:val="32"/>
        </w:rPr>
      </w:pPr>
      <w:r>
        <w:rPr>
          <w:rFonts w:hint="eastAsia" w:ascii="仿宋_GB2312" w:hAnsi="仿宋_GB2312" w:eastAsia="仿宋_GB2312" w:cs="仿宋_GB2312"/>
          <w:b/>
          <w:bCs/>
          <w:color w:val="000000"/>
          <w:spacing w:val="18"/>
          <w:sz w:val="32"/>
          <w:szCs w:val="32"/>
        </w:rPr>
        <w:t>7.切实帮助企业减亏达产。</w:t>
      </w:r>
      <w:r>
        <w:rPr>
          <w:rFonts w:hint="eastAsia" w:ascii="仿宋" w:hAnsi="仿宋" w:eastAsia="仿宋" w:cs="仿宋"/>
          <w:sz w:val="32"/>
          <w:szCs w:val="40"/>
        </w:rPr>
        <w:t>深入开展“万名干部下基层”“千名干部进千企”等专项行动，加强一线走访帮扶，建立挂钩帮扶机制，加强要素保障，切实解决难点、堵点，力争年底前缩小减产额，减产面较第三季度缩小3个百分点，力争年底前将限上商贸业负增长面控制在30%以内。（责任单位：区工信局、商务局等）</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eastAsia="仿宋_GB2312"/>
          <w:sz w:val="32"/>
          <w:szCs w:val="32"/>
        </w:rPr>
      </w:pPr>
      <w:r>
        <w:rPr>
          <w:rFonts w:hint="eastAsia" w:ascii="仿宋_GB2312" w:hAnsi="仿宋_GB2312" w:eastAsia="仿宋_GB2312" w:cs="仿宋_GB2312"/>
          <w:b/>
          <w:bCs/>
          <w:color w:val="000000"/>
          <w:spacing w:val="18"/>
          <w:sz w:val="32"/>
          <w:szCs w:val="32"/>
        </w:rPr>
        <w:t>8.实施创新驱动发展战略。</w:t>
      </w:r>
      <w:r>
        <w:rPr>
          <w:rFonts w:hint="eastAsia" w:ascii="仿宋" w:hAnsi="仿宋" w:eastAsia="仿宋" w:cs="仿宋"/>
          <w:sz w:val="32"/>
          <w:szCs w:val="40"/>
        </w:rPr>
        <w:t>不断加大仓山区科创街区建设力度，精准开展R&amp;D稳增及高新技术企业倍增行动，力争全年新增科创走廊载体20.33万平方米以上，R&amp;D经费投入总量达26亿元，高新技术企业突破500家。加快打造高水平创新平台，积极落实各级惠企扶持政策，及时兑现各类企业奖补资金。积极开展省、市级创新平台培育、推荐工作，积极培育产业领军团队，全年新增各类研发平台、双创载体超6个。（责任单位：区发改局（科技局）、资规局、工信局、财政局等）</w:t>
      </w:r>
    </w:p>
    <w:p>
      <w:pPr>
        <w:pStyle w:val="18"/>
        <w:keepNext w:val="0"/>
        <w:keepLines w:val="0"/>
        <w:pageBreakBefore w:val="0"/>
        <w:kinsoku/>
        <w:wordWrap/>
        <w:overflowPunct/>
        <w:topLinePunct w:val="0"/>
        <w:autoSpaceDE/>
        <w:autoSpaceDN/>
        <w:bidi w:val="0"/>
        <w:spacing w:line="560" w:lineRule="exact"/>
        <w:ind w:firstLine="634" w:firstLineChars="200"/>
        <w:jc w:val="both"/>
        <w:rPr>
          <w:rStyle w:val="24"/>
          <w:rFonts w:hint="eastAsia" w:ascii="楷体_GB2312" w:hAnsi="楷体_GB2312" w:eastAsia="楷体_GB2312" w:cs="楷体_GB2312"/>
          <w:b w:val="0"/>
          <w:bCs/>
          <w:sz w:val="32"/>
          <w:szCs w:val="32"/>
        </w:rPr>
      </w:pPr>
      <w:r>
        <w:rPr>
          <w:rStyle w:val="24"/>
          <w:rFonts w:hint="eastAsia" w:ascii="楷体_GB2312" w:hAnsi="楷体_GB2312" w:eastAsia="楷体_GB2312" w:cs="楷体_GB2312"/>
          <w:b w:val="0"/>
          <w:bCs/>
          <w:sz w:val="32"/>
          <w:szCs w:val="32"/>
        </w:rPr>
        <w:t>（二）抓项目扩投资专项行动</w:t>
      </w:r>
    </w:p>
    <w:p>
      <w:pPr>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pacing w:val="18"/>
          <w:sz w:val="32"/>
          <w:szCs w:val="32"/>
        </w:rPr>
        <w:t>9.加快推动重点项目建设。</w:t>
      </w:r>
      <w:r>
        <w:rPr>
          <w:rFonts w:hint="eastAsia" w:ascii="仿宋" w:hAnsi="仿宋" w:eastAsia="仿宋" w:cs="仿宋"/>
          <w:sz w:val="32"/>
          <w:szCs w:val="40"/>
        </w:rPr>
        <w:t>深入开展“项目攻坚落实年”行动，落实“3+1”工作机制，适时组织第四季度集中开工活动，加大协调服务力度，及时协调解决制约项目建设的突出问题，加强基础设施和社会民生项目建设，力争省市重点项目四季度完成投资90.86亿元，加快完成86个开竣工项目年度任务。（责任单位：区发改局、工信局、建设局、资规局、生态环境局等）</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eastAsia="仿宋_GB2312"/>
          <w:sz w:val="32"/>
          <w:szCs w:val="32"/>
        </w:rPr>
      </w:pPr>
      <w:r>
        <w:rPr>
          <w:rFonts w:hint="eastAsia" w:ascii="仿宋_GB2312" w:hAnsi="仿宋_GB2312" w:eastAsia="仿宋_GB2312" w:cs="仿宋_GB2312"/>
          <w:b/>
          <w:bCs/>
          <w:color w:val="000000"/>
          <w:spacing w:val="18"/>
          <w:sz w:val="32"/>
          <w:szCs w:val="32"/>
        </w:rPr>
        <w:t>10.做好项目前期攻坚工作。</w:t>
      </w:r>
      <w:r>
        <w:rPr>
          <w:rFonts w:hint="eastAsia" w:ascii="仿宋" w:hAnsi="仿宋" w:eastAsia="仿宋" w:cs="仿宋"/>
          <w:sz w:val="32"/>
          <w:szCs w:val="40"/>
        </w:rPr>
        <w:t>深化“放管服”改革，跑出审批“加速度”，四季度全力推进33个建设项目68个审批节点办理，推动项目早动工、早建设。（责任单位：区发改局、资规局、行政服务中心管委会及各项目主管部门等）</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hAnsi="仿宋_GB2312" w:eastAsia="仿宋_GB2312" w:cs="仿宋_GB2312"/>
          <w:b/>
          <w:bCs/>
          <w:spacing w:val="18"/>
          <w:sz w:val="32"/>
          <w:szCs w:val="32"/>
        </w:rPr>
      </w:pPr>
      <w:r>
        <w:rPr>
          <w:rFonts w:hint="eastAsia" w:ascii="仿宋_GB2312" w:hAnsi="仿宋_GB2312" w:eastAsia="仿宋_GB2312" w:cs="仿宋_GB2312"/>
          <w:b/>
          <w:bCs/>
          <w:color w:val="000000"/>
          <w:spacing w:val="18"/>
          <w:sz w:val="32"/>
          <w:szCs w:val="32"/>
        </w:rPr>
        <w:t>11.加速推进征迁交地。</w:t>
      </w:r>
      <w:r>
        <w:rPr>
          <w:rFonts w:hint="eastAsia" w:ascii="仿宋" w:hAnsi="仿宋" w:eastAsia="仿宋" w:cs="仿宋"/>
          <w:sz w:val="32"/>
          <w:szCs w:val="40"/>
        </w:rPr>
        <w:t>紧紧围绕攻坚落实年项目，主动对接业主单位、征收公司、相关镇街，梳理各项目征迁进展情况，精细分析各项难易程度，倒排时间节点。按先易后难原则，集中力量分批次推进，做好宣传尽快完成征迁，完善符合验收要求的内业资料，积极协调市房管局确保所需安置房源及时调配到位、协调业主单位确保征迁补偿资金及时足额发放。积极对接市自然资源和规划局开展项目调整工作，以确保完成我区交地攻坚任务，争取完成交地攻坚任务100个，共计9719.78亩。积极推动完成福安新区、福喜新区项目一、福峡路西侧城市综合体项目用地等9个项目共计210户14.74万平方米的拆迁任务。（责任单位：区资规局、房管局等）</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eastAsia="仿宋_GB2312"/>
          <w:sz w:val="32"/>
          <w:szCs w:val="32"/>
        </w:rPr>
      </w:pPr>
      <w:r>
        <w:rPr>
          <w:rFonts w:hint="eastAsia" w:ascii="仿宋_GB2312" w:hAnsi="仿宋_GB2312" w:eastAsia="仿宋_GB2312" w:cs="仿宋_GB2312"/>
          <w:b/>
          <w:bCs/>
          <w:color w:val="000000"/>
          <w:spacing w:val="18"/>
          <w:sz w:val="32"/>
          <w:szCs w:val="32"/>
        </w:rPr>
        <w:t>12.强化项目谋划储备和跟踪服务。</w:t>
      </w:r>
      <w:r>
        <w:rPr>
          <w:rFonts w:hint="eastAsia" w:ascii="仿宋" w:hAnsi="仿宋" w:eastAsia="仿宋" w:cs="仿宋"/>
          <w:sz w:val="32"/>
          <w:szCs w:val="40"/>
        </w:rPr>
        <w:t>紧密跟踪1088个项目、总投资达13222.24亿元的区级重大储备项目库，定期跟踪、服务、协调，全力推进项目建设，为我区经济建设发展提供强有力的项目支撑。提前梳理2023年省市重点项目盘子，聚焦重大交通、水利、新型基础设施、产业园区基础设施、城市品质提升等领域谋划生成项目，力争生成省重点项目7个，总投资额46.33亿，市重点项目130个，总投资2400.64亿元，较2022年在项目数和投资额有较大提升。用好省级数字经济专项资金、产业集聚区专项补助资金、2022年第二批省级预算内投资资金，落实5G网络基站、示范应用场景、城市大脑建设，加快数字经济集聚发展，实现铸链、强链、补链。同时加快市场主体培育，重点围绕“两园四镇”产业载体，持续招大引强，做好落地企业服务保障，发挥龙头企业带动作用，吸引上下游企业落地仓山。（责任单位：区发改局、建设局、农业农村局、工信局、行政服务中心管委会、大数据中心等）</w:t>
      </w:r>
    </w:p>
    <w:p>
      <w:pPr>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eastAsia="仿宋_GB2312"/>
          <w:sz w:val="32"/>
          <w:szCs w:val="32"/>
        </w:rPr>
      </w:pPr>
      <w:r>
        <w:rPr>
          <w:rFonts w:hint="eastAsia" w:ascii="仿宋_GB2312" w:hAnsi="仿宋_GB2312" w:eastAsia="仿宋_GB2312" w:cs="仿宋_GB2312"/>
          <w:b/>
          <w:bCs/>
          <w:color w:val="000000"/>
          <w:spacing w:val="18"/>
          <w:sz w:val="32"/>
          <w:szCs w:val="32"/>
        </w:rPr>
        <w:t>13.全方位推进招商引资。</w:t>
      </w:r>
      <w:r>
        <w:rPr>
          <w:rFonts w:hint="eastAsia" w:ascii="仿宋" w:hAnsi="仿宋" w:eastAsia="仿宋" w:cs="仿宋"/>
          <w:sz w:val="32"/>
          <w:szCs w:val="40"/>
        </w:rPr>
        <w:t>继续以“招商综合排名全市第一方阵”为目标，补齐短板弱项，力争再引进高质量产业项目20项以上；全面完成101项新增/提升入库或纳税50万以上生效项目；协调推动福州山姆会员二店等重大活动签约项目转落地；主动对接专业的金融、基金机构，谋划在我区筹设广发厚振生命科创基金，引来更多优质项目企业投资仓山；以中国企业家年会、“5·18”海交会为契机，开展市区联合招商，生成一批重大产业项目线索。（责任单位：区招商办）</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hAnsi="仿宋_GB2312" w:eastAsia="仿宋_GB2312" w:cs="仿宋_GB2312"/>
          <w:b/>
          <w:bCs/>
          <w:spacing w:val="18"/>
          <w:sz w:val="32"/>
          <w:szCs w:val="32"/>
        </w:rPr>
      </w:pPr>
      <w:r>
        <w:rPr>
          <w:rFonts w:hint="eastAsia" w:ascii="仿宋_GB2312" w:hAnsi="仿宋_GB2312" w:eastAsia="仿宋_GB2312" w:cs="仿宋_GB2312"/>
          <w:b/>
          <w:bCs/>
          <w:color w:val="000000"/>
          <w:spacing w:val="18"/>
          <w:sz w:val="32"/>
          <w:szCs w:val="32"/>
        </w:rPr>
        <w:t>14.用好政策资金工具。</w:t>
      </w:r>
      <w:r>
        <w:rPr>
          <w:rFonts w:hint="eastAsia" w:ascii="仿宋" w:hAnsi="仿宋" w:eastAsia="仿宋" w:cs="仿宋"/>
          <w:sz w:val="32"/>
          <w:szCs w:val="40"/>
        </w:rPr>
        <w:t>积极向上争取地方政府专项债券和中央预算内投资资金，支持交通基础设施、产业园区、社会民生等领域重点项目建设。鼓励符合条件的企业申报部分领域设备购置与更新改造贷款财政贴息项目。（责任单位：区发改局、财政局、金融办等）</w:t>
      </w:r>
    </w:p>
    <w:p>
      <w:pPr>
        <w:pStyle w:val="18"/>
        <w:keepNext w:val="0"/>
        <w:keepLines w:val="0"/>
        <w:pageBreakBefore w:val="0"/>
        <w:kinsoku/>
        <w:wordWrap/>
        <w:overflowPunct/>
        <w:topLinePunct w:val="0"/>
        <w:autoSpaceDE/>
        <w:autoSpaceDN/>
        <w:bidi w:val="0"/>
        <w:spacing w:line="560" w:lineRule="exact"/>
        <w:ind w:firstLine="634" w:firstLineChars="200"/>
        <w:jc w:val="both"/>
        <w:rPr>
          <w:rStyle w:val="24"/>
          <w:rFonts w:hint="eastAsia" w:ascii="楷体_GB2312" w:hAnsi="楷体_GB2312" w:eastAsia="楷体_GB2312" w:cs="楷体_GB2312"/>
          <w:b w:val="0"/>
          <w:bCs/>
          <w:sz w:val="32"/>
          <w:szCs w:val="32"/>
        </w:rPr>
      </w:pPr>
      <w:r>
        <w:rPr>
          <w:rStyle w:val="24"/>
          <w:rFonts w:hint="eastAsia" w:ascii="楷体_GB2312" w:hAnsi="楷体_GB2312" w:eastAsia="楷体_GB2312" w:cs="楷体_GB2312"/>
          <w:b w:val="0"/>
          <w:bCs/>
          <w:sz w:val="32"/>
          <w:szCs w:val="32"/>
        </w:rPr>
        <w:t>（三）促消费稳市场专项行动</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eastAsia="仿宋_GB2312"/>
          <w:sz w:val="32"/>
          <w:szCs w:val="32"/>
        </w:rPr>
      </w:pPr>
      <w:r>
        <w:rPr>
          <w:rFonts w:hint="eastAsia" w:ascii="仿宋_GB2312" w:hAnsi="仿宋_GB2312" w:eastAsia="仿宋_GB2312" w:cs="仿宋_GB2312"/>
          <w:b/>
          <w:bCs/>
          <w:color w:val="000000"/>
          <w:spacing w:val="18"/>
          <w:sz w:val="32"/>
          <w:szCs w:val="32"/>
        </w:rPr>
        <w:t>15.刺激消费增长。</w:t>
      </w:r>
      <w:r>
        <w:rPr>
          <w:rFonts w:hint="eastAsia" w:ascii="仿宋" w:hAnsi="仿宋" w:eastAsia="仿宋" w:cs="仿宋"/>
          <w:sz w:val="32"/>
          <w:szCs w:val="40"/>
        </w:rPr>
        <w:t>配合市里开展“全闽乐购·惠聚榕城”促消费活动，鼓励各大商圈开展迎新年、迎新春及“双十二”等多样化促销活动。鼓励本地企业参加福品博览会，争取专项消费券和参展标摊补助。加快会展业恢复举办，做好市里年底前谋划举办福瑞福品博览会、文旅中国元宇宙生态大会等30场展会、会议的配套工作。（责任单位：区商务局、财政局等）</w:t>
      </w:r>
    </w:p>
    <w:p>
      <w:pPr>
        <w:pStyle w:val="18"/>
        <w:keepNext w:val="0"/>
        <w:keepLines w:val="0"/>
        <w:pageBreakBefore w:val="0"/>
        <w:widowControl/>
        <w:kinsoku/>
        <w:wordWrap/>
        <w:overflowPunct/>
        <w:topLinePunct w:val="0"/>
        <w:autoSpaceDE/>
        <w:autoSpaceDN/>
        <w:bidi w:val="0"/>
        <w:spacing w:line="560" w:lineRule="exact"/>
        <w:ind w:firstLine="730" w:firstLineChars="200"/>
        <w:jc w:val="both"/>
        <w:rPr>
          <w:rFonts w:hint="eastAsia" w:ascii="仿宋_GB2312" w:hAnsi="仿宋_GB2312" w:eastAsia="仿宋_GB2312" w:cs="仿宋_GB2312"/>
          <w:b/>
          <w:bCs/>
          <w:spacing w:val="18"/>
          <w:sz w:val="32"/>
          <w:szCs w:val="32"/>
        </w:rPr>
      </w:pPr>
      <w:r>
        <w:rPr>
          <w:rFonts w:hint="eastAsia" w:ascii="仿宋_GB2312" w:hAnsi="仿宋_GB2312" w:eastAsia="仿宋_GB2312" w:cs="仿宋_GB2312"/>
          <w:b/>
          <w:bCs/>
          <w:color w:val="000000"/>
          <w:spacing w:val="18"/>
          <w:sz w:val="32"/>
          <w:szCs w:val="32"/>
        </w:rPr>
        <w:t>16.促进旅游业复苏。</w:t>
      </w:r>
      <w:r>
        <w:rPr>
          <w:rFonts w:hint="eastAsia" w:ascii="仿宋" w:hAnsi="仿宋" w:eastAsia="仿宋" w:cs="仿宋"/>
          <w:sz w:val="32"/>
          <w:szCs w:val="40"/>
        </w:rPr>
        <w:t>在落实常态化疫情防控基础上，依托烟台山、“闽江之心”等资源谋划文旅活动。落实促进旅游业复苏措施。支持开展镇（村）旅游服务中心、接头文化、基层公共文化设施等公共文化和旅游项目建设，全面提升旅游品质。（责任单位：区文旅局、区委宣传部、建设局等）</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eastAsia="仿宋_GB2312"/>
          <w:sz w:val="32"/>
          <w:szCs w:val="32"/>
        </w:rPr>
      </w:pPr>
      <w:r>
        <w:rPr>
          <w:rFonts w:hint="eastAsia" w:ascii="仿宋_GB2312" w:hAnsi="仿宋_GB2312" w:eastAsia="仿宋_GB2312" w:cs="仿宋_GB2312"/>
          <w:b/>
          <w:bCs/>
          <w:color w:val="000000"/>
          <w:spacing w:val="18"/>
          <w:sz w:val="32"/>
          <w:szCs w:val="32"/>
        </w:rPr>
        <w:t>17.推动企业产销对接。</w:t>
      </w:r>
      <w:r>
        <w:rPr>
          <w:rFonts w:hint="eastAsia" w:ascii="仿宋" w:hAnsi="仿宋" w:eastAsia="仿宋" w:cs="仿宋"/>
          <w:sz w:val="32"/>
          <w:szCs w:val="40"/>
        </w:rPr>
        <w:t>积极引导龙头企业与受疫情影响较大的中小企业开展“手拉手”活动，帮助生产物资、设备、配件、原辅材料及农副产品外运，打通销售渠道，对符合条件的“手拉手”活动，给予每场5万元补助。加大鼓励企业开拓省外、市外市场，对符合市级补助条件的企业，按照市级补助金额再给予不超过合同金额1%的配套奖励，单个项目奖励不超过30万元，单家企业年度奖励累计不超过50万元。（责任单位：区工信局、财政局、商务局、发改局等）</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hAnsi="仿宋_GB2312" w:eastAsia="仿宋_GB2312" w:cs="仿宋_GB2312"/>
          <w:spacing w:val="18"/>
          <w:sz w:val="32"/>
          <w:szCs w:val="32"/>
        </w:rPr>
      </w:pPr>
      <w:r>
        <w:rPr>
          <w:rFonts w:hint="eastAsia" w:ascii="仿宋_GB2312" w:hAnsi="仿宋_GB2312" w:eastAsia="仿宋_GB2312" w:cs="仿宋_GB2312"/>
          <w:b/>
          <w:bCs/>
          <w:color w:val="000000"/>
          <w:spacing w:val="18"/>
          <w:sz w:val="32"/>
          <w:szCs w:val="32"/>
        </w:rPr>
        <w:t>18.支持外贸企业发展。</w:t>
      </w:r>
      <w:r>
        <w:rPr>
          <w:rFonts w:hint="eastAsia" w:ascii="仿宋" w:hAnsi="仿宋" w:eastAsia="仿宋" w:cs="仿宋"/>
          <w:sz w:val="32"/>
          <w:szCs w:val="40"/>
        </w:rPr>
        <w:t>推动金融机构加大外贸企业授信支持，推动政府性融资担保机构下调担保费率，降低外贸行业融资成本，动员更多金融机构参与福州市跨境贸易专项补偿资金池“跨境贷”业务。配合市级政策，动员外贸企业参加2022年福品博览会。强化外贸龙头企业服务保障，做好全区24家进出口重点企业运行情况的跟踪监测，实行“一企一策”精准服务。加快推动跨境电商龙头企业总部回乡、业务回归、数据回流。加快省市区外贸补助资金兑现，增强外贸企业发展信心。（责任单位：区商务局、金融办、财政局等）</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hAnsi="仿宋_GB2312" w:eastAsia="仿宋_GB2312" w:cs="仿宋_GB2312"/>
          <w:b/>
          <w:bCs/>
          <w:spacing w:val="18"/>
          <w:sz w:val="32"/>
          <w:szCs w:val="32"/>
        </w:rPr>
      </w:pPr>
      <w:r>
        <w:rPr>
          <w:rFonts w:hint="eastAsia" w:ascii="仿宋_GB2312" w:hAnsi="仿宋_GB2312" w:eastAsia="仿宋_GB2312" w:cs="仿宋_GB2312"/>
          <w:b/>
          <w:bCs/>
          <w:color w:val="000000"/>
          <w:spacing w:val="18"/>
          <w:sz w:val="32"/>
          <w:szCs w:val="32"/>
        </w:rPr>
        <w:t>19.提升出口信保服务。</w:t>
      </w:r>
      <w:r>
        <w:rPr>
          <w:rFonts w:hint="eastAsia" w:ascii="仿宋" w:hAnsi="仿宋" w:eastAsia="仿宋" w:cs="仿宋"/>
          <w:sz w:val="32"/>
          <w:szCs w:val="40"/>
        </w:rPr>
        <w:t>配合推动商业保险公司开展短期出口信用保险业务并降低费率，对符合要求的外贸企业，在新签或者续转时降低保险费率。适当延长疫情期间保单续转时限，对受疫情影响较大的企业简化报损索赔程序。</w:t>
      </w:r>
      <w:r>
        <w:rPr>
          <w:rFonts w:hint="eastAsia" w:ascii="仿宋" w:hAnsi="仿宋" w:eastAsia="仿宋" w:cs="仿宋"/>
          <w:sz w:val="32"/>
          <w:szCs w:val="40"/>
          <w:lang w:val="en"/>
        </w:rPr>
        <w:t>（责任单位：区商务局、金融办</w:t>
      </w:r>
      <w:r>
        <w:rPr>
          <w:rFonts w:hint="eastAsia" w:ascii="仿宋" w:hAnsi="仿宋" w:eastAsia="仿宋" w:cs="仿宋"/>
          <w:sz w:val="32"/>
          <w:szCs w:val="40"/>
        </w:rPr>
        <w:t>等</w:t>
      </w:r>
      <w:r>
        <w:rPr>
          <w:rFonts w:hint="eastAsia" w:ascii="仿宋" w:hAnsi="仿宋" w:eastAsia="仿宋" w:cs="仿宋"/>
          <w:sz w:val="32"/>
          <w:szCs w:val="40"/>
          <w:lang w:val="en"/>
        </w:rPr>
        <w:t>）</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eastAsia="仿宋_GB2312"/>
          <w:sz w:val="32"/>
          <w:szCs w:val="32"/>
        </w:rPr>
      </w:pPr>
      <w:r>
        <w:rPr>
          <w:rFonts w:hint="eastAsia" w:ascii="仿宋_GB2312" w:hAnsi="仿宋_GB2312" w:eastAsia="仿宋_GB2312" w:cs="仿宋_GB2312"/>
          <w:b/>
          <w:bCs/>
          <w:color w:val="000000"/>
          <w:spacing w:val="18"/>
          <w:sz w:val="32"/>
          <w:szCs w:val="32"/>
        </w:rPr>
        <w:t>20.支持企业拓展境外市场。</w:t>
      </w:r>
      <w:r>
        <w:rPr>
          <w:rFonts w:hint="eastAsia" w:ascii="仿宋" w:hAnsi="仿宋" w:eastAsia="仿宋" w:cs="仿宋"/>
          <w:sz w:val="32"/>
          <w:szCs w:val="40"/>
        </w:rPr>
        <w:t>支持中国(福州)跨境电商综合试验区加快发展，鼓励利用自营或第三方跨境电商平台开展出口业务。配合市直单位，鼓励企业通过中欧班列拓展境外市场。鼓励企业通过组团包机、代参展等形式“走出去”，开拓市场，获取订单。鼓励我区2022年有进出口实绩的外贸企业参加省、市牵头组织的组团赴境外参加线下展、拜访客户等活动。（责任单位：区商务局、财政局、发改局等）</w:t>
      </w:r>
    </w:p>
    <w:p>
      <w:pPr>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eastAsia="仿宋_GB2312"/>
          <w:sz w:val="32"/>
          <w:szCs w:val="32"/>
        </w:rPr>
      </w:pPr>
      <w:r>
        <w:rPr>
          <w:rFonts w:hint="eastAsia" w:ascii="仿宋_GB2312" w:hAnsi="仿宋_GB2312" w:eastAsia="仿宋_GB2312" w:cs="仿宋_GB2312"/>
          <w:b/>
          <w:bCs/>
          <w:color w:val="000000"/>
          <w:spacing w:val="18"/>
          <w:sz w:val="32"/>
          <w:szCs w:val="32"/>
        </w:rPr>
        <w:t>21.开展稳外贸专项行动。</w:t>
      </w:r>
      <w:r>
        <w:rPr>
          <w:rFonts w:hint="eastAsia" w:ascii="仿宋" w:hAnsi="仿宋" w:eastAsia="仿宋" w:cs="仿宋"/>
          <w:sz w:val="32"/>
          <w:szCs w:val="40"/>
        </w:rPr>
        <w:t>对照“全年出口不低于全国水平，进口努力压缩缺口”要求，以超常规工作力度和工作措施，全力冲刺全年目标任务。用足用好省级政策和专项资金，叠加配套市、区支持政策，努力做大跨境电商，市场采购等新业态发展。（责任单位：区商务局）</w:t>
      </w:r>
    </w:p>
    <w:p>
      <w:pPr>
        <w:pStyle w:val="18"/>
        <w:keepNext w:val="0"/>
        <w:keepLines w:val="0"/>
        <w:pageBreakBefore w:val="0"/>
        <w:kinsoku/>
        <w:wordWrap/>
        <w:overflowPunct/>
        <w:topLinePunct w:val="0"/>
        <w:autoSpaceDE/>
        <w:autoSpaceDN/>
        <w:bidi w:val="0"/>
        <w:spacing w:line="560" w:lineRule="exact"/>
        <w:ind w:firstLine="634" w:firstLineChars="200"/>
        <w:jc w:val="both"/>
        <w:rPr>
          <w:rStyle w:val="24"/>
          <w:rFonts w:hint="eastAsia" w:ascii="楷体_GB2312" w:hAnsi="楷体_GB2312" w:eastAsia="楷体_GB2312" w:cs="楷体_GB2312"/>
          <w:b w:val="0"/>
          <w:bCs/>
          <w:sz w:val="32"/>
          <w:szCs w:val="32"/>
        </w:rPr>
      </w:pPr>
      <w:r>
        <w:rPr>
          <w:rStyle w:val="24"/>
          <w:rFonts w:hint="eastAsia" w:ascii="楷体_GB2312" w:hAnsi="楷体_GB2312" w:eastAsia="楷体_GB2312" w:cs="楷体_GB2312"/>
          <w:b w:val="0"/>
          <w:bCs/>
          <w:sz w:val="32"/>
          <w:szCs w:val="32"/>
        </w:rPr>
        <w:t>（四）优服务惠企业专项行动</w:t>
      </w:r>
    </w:p>
    <w:p>
      <w:pPr>
        <w:pStyle w:val="18"/>
        <w:keepNext w:val="0"/>
        <w:keepLines w:val="0"/>
        <w:pageBreakBefore w:val="0"/>
        <w:kinsoku/>
        <w:wordWrap/>
        <w:overflowPunct/>
        <w:topLinePunct w:val="0"/>
        <w:autoSpaceDE/>
        <w:autoSpaceDN/>
        <w:bidi w:val="0"/>
        <w:spacing w:line="560" w:lineRule="exact"/>
        <w:ind w:firstLine="730" w:firstLineChars="200"/>
        <w:jc w:val="both"/>
        <w:rPr>
          <w:rStyle w:val="24"/>
          <w:rFonts w:hint="eastAsia" w:ascii="仿宋_GB2312" w:hAnsi="仿宋_GB2312" w:eastAsia="仿宋_GB2312" w:cs="仿宋_GB2312"/>
          <w:b w:val="0"/>
          <w:bCs/>
          <w:sz w:val="32"/>
          <w:szCs w:val="32"/>
        </w:rPr>
      </w:pPr>
      <w:r>
        <w:rPr>
          <w:rFonts w:hint="eastAsia" w:ascii="仿宋_GB2312" w:hAnsi="仿宋_GB2312" w:eastAsia="仿宋_GB2312" w:cs="仿宋_GB2312"/>
          <w:b/>
          <w:bCs/>
          <w:color w:val="000000"/>
          <w:spacing w:val="18"/>
          <w:sz w:val="32"/>
          <w:szCs w:val="32"/>
        </w:rPr>
        <w:t>22.全面落实税费支持政策。</w:t>
      </w:r>
      <w:r>
        <w:rPr>
          <w:rFonts w:hint="eastAsia" w:ascii="仿宋" w:hAnsi="仿宋" w:eastAsia="仿宋" w:cs="仿宋"/>
          <w:sz w:val="32"/>
          <w:szCs w:val="40"/>
        </w:rPr>
        <w:t>全面落实组合式税费支持政策，通过福州智税服务平台精准推送政策，确保纳税人缴费人应知尽知、应享尽享。简化操作流程，对符合条件的纳税人缴费人“申报即享”，对部分需要审核的事项，全力压缩办理时长，让政策红利以最快速度到达市场主体。全面推广“非接触式”办税缴费，引导纳税人缴费人通过电子税务局、福建税务APP、闽政通等渠道办理业务。对确需线下办理的急办诉求，采取邮寄办、“远程帮办”等形式予以解决。全力助企纾困解难，按期缴纳税款有特殊困难的企业，可在缴纳税款期限届满前提出申请，经依法核准后可延期缴纳税款。为保障纳税人发票正常领用，确保O2O中心、24小时自助发票机足量供应。（责任单位：区税务局、财政局等）</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hAnsi="仿宋_GB2312" w:eastAsia="仿宋_GB2312" w:cs="仿宋_GB2312"/>
          <w:spacing w:val="18"/>
          <w:sz w:val="32"/>
          <w:szCs w:val="32"/>
        </w:rPr>
      </w:pPr>
      <w:r>
        <w:rPr>
          <w:rFonts w:hint="eastAsia" w:ascii="仿宋_GB2312" w:hAnsi="仿宋_GB2312" w:eastAsia="仿宋_GB2312" w:cs="仿宋_GB2312"/>
          <w:b/>
          <w:bCs/>
          <w:color w:val="000000"/>
          <w:spacing w:val="18"/>
          <w:sz w:val="32"/>
          <w:szCs w:val="32"/>
        </w:rPr>
        <w:t>23.争取优惠性纾困贷款。</w:t>
      </w:r>
      <w:r>
        <w:rPr>
          <w:rFonts w:hint="eastAsia" w:ascii="仿宋" w:hAnsi="仿宋" w:eastAsia="仿宋" w:cs="仿宋"/>
          <w:sz w:val="32"/>
          <w:szCs w:val="40"/>
        </w:rPr>
        <w:t>推动仓山辖区银行落实第八期中小微企业纾困增产增效专项资金贷款政策，用好用足面向福州的50亿元专项额度。（责任单位：区金融办、财政局、工信局、商务局等）</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hAnsi="仿宋_GB2312" w:eastAsia="仿宋_GB2312" w:cs="仿宋_GB2312"/>
          <w:spacing w:val="18"/>
          <w:sz w:val="32"/>
          <w:szCs w:val="32"/>
        </w:rPr>
      </w:pPr>
      <w:r>
        <w:rPr>
          <w:rFonts w:hint="eastAsia" w:ascii="仿宋_GB2312" w:hAnsi="仿宋_GB2312" w:eastAsia="仿宋_GB2312" w:cs="仿宋_GB2312"/>
          <w:b/>
          <w:bCs/>
          <w:color w:val="000000"/>
          <w:spacing w:val="18"/>
          <w:sz w:val="32"/>
          <w:szCs w:val="32"/>
        </w:rPr>
        <w:t>24.提高中小微和困难企业融资支持力度。</w:t>
      </w:r>
      <w:r>
        <w:rPr>
          <w:rFonts w:hint="eastAsia" w:ascii="仿宋" w:hAnsi="仿宋" w:eastAsia="仿宋" w:cs="仿宋"/>
          <w:sz w:val="32"/>
          <w:szCs w:val="40"/>
        </w:rPr>
        <w:t>支持受疫情影响严重企业融资，尤其是文旅、住宿、餐饮、物流等行业，即日起至2023年6月30日新增流动资金贷款的，鼓励金融机构主动让利，予以优惠利率支持。支持各县(市)区制造业中小微企业融资，鼓励银行机构主动对接、简化流程，尽快发放贷款。引导在榕银行用好再贷款、再贴现额度，加大对疫情影响较大企业、行业的信贷支持力度。（责任单位：区金融办、财政局等）</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hAnsi="仿宋_GB2312" w:eastAsia="仿宋_GB2312" w:cs="仿宋_GB2312"/>
          <w:spacing w:val="18"/>
          <w:sz w:val="32"/>
          <w:szCs w:val="32"/>
        </w:rPr>
      </w:pPr>
      <w:r>
        <w:rPr>
          <w:rFonts w:hint="eastAsia" w:ascii="仿宋_GB2312" w:hAnsi="仿宋_GB2312" w:eastAsia="仿宋_GB2312" w:cs="仿宋_GB2312"/>
          <w:b/>
          <w:bCs/>
          <w:color w:val="000000"/>
          <w:spacing w:val="18"/>
          <w:sz w:val="32"/>
          <w:szCs w:val="32"/>
        </w:rPr>
        <w:t>25.落实续贷政策。</w:t>
      </w:r>
      <w:r>
        <w:rPr>
          <w:rFonts w:hint="eastAsia" w:ascii="仿宋" w:hAnsi="仿宋" w:eastAsia="仿宋" w:cs="仿宋"/>
          <w:sz w:val="32"/>
          <w:szCs w:val="40"/>
        </w:rPr>
        <w:t>鼓励银行机构推广“随借随还”模式，开设受疫情影响企业融资“绿色通道”,主动跟进企业融资需求，不盲目抽贷、压贷、断贷。对因疫情影响导致还款困难的企业，鼓励金融机构充分协商、审慎认定，按照市场化原则，及时办理延期还本付息等手续，对符合条件的工业领域中小微企业半年内到期的贷款给予续贷支持。（责任单位：区金融办）</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hAnsi="仿宋_GB2312" w:eastAsia="仿宋_GB2312" w:cs="仿宋_GB2312"/>
          <w:spacing w:val="18"/>
          <w:sz w:val="32"/>
          <w:szCs w:val="32"/>
        </w:rPr>
      </w:pPr>
      <w:r>
        <w:rPr>
          <w:rFonts w:hint="eastAsia" w:ascii="仿宋_GB2312" w:hAnsi="仿宋_GB2312" w:eastAsia="仿宋_GB2312" w:cs="仿宋_GB2312"/>
          <w:b/>
          <w:bCs/>
          <w:color w:val="000000"/>
          <w:spacing w:val="18"/>
          <w:sz w:val="32"/>
          <w:szCs w:val="32"/>
        </w:rPr>
        <w:t>26.加大融资担保支持。</w:t>
      </w:r>
      <w:r>
        <w:rPr>
          <w:rFonts w:hint="eastAsia" w:ascii="仿宋" w:hAnsi="仿宋" w:eastAsia="仿宋" w:cs="仿宋"/>
          <w:sz w:val="32"/>
          <w:szCs w:val="40"/>
        </w:rPr>
        <w:t>对政府性融资担保机构符合条件的小微企业及“三农”融资担保业务，在省级奖补基础上，市级另外给予担保费补贴，补助比例不超过1%与实际年化担保费率之差。（责任单位：区金融办、财政局等）</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hAnsi="仿宋_GB2312" w:eastAsia="仿宋_GB2312" w:cs="仿宋_GB2312"/>
          <w:spacing w:val="18"/>
          <w:sz w:val="32"/>
          <w:szCs w:val="32"/>
        </w:rPr>
      </w:pPr>
      <w:r>
        <w:rPr>
          <w:rFonts w:hint="eastAsia" w:ascii="仿宋_GB2312" w:hAnsi="仿宋_GB2312" w:eastAsia="仿宋_GB2312" w:cs="仿宋_GB2312"/>
          <w:b/>
          <w:bCs/>
          <w:color w:val="000000"/>
          <w:spacing w:val="18"/>
          <w:sz w:val="32"/>
          <w:szCs w:val="32"/>
        </w:rPr>
        <w:t>27.提高保险保障水平。</w:t>
      </w:r>
      <w:r>
        <w:rPr>
          <w:rFonts w:hint="eastAsia" w:ascii="仿宋" w:hAnsi="仿宋" w:eastAsia="仿宋" w:cs="仿宋"/>
          <w:sz w:val="32"/>
          <w:szCs w:val="40"/>
        </w:rPr>
        <w:t>配合市金融局推动保险机构创新抗疫产品，在现有保险产品基础上扩展新冠肺炎保险理赔责任范围。（责任单位：区金融办）</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hAnsi="仿宋_GB2312" w:eastAsia="仿宋_GB2312" w:cs="仿宋_GB2312"/>
          <w:spacing w:val="18"/>
          <w:sz w:val="32"/>
          <w:szCs w:val="32"/>
        </w:rPr>
      </w:pPr>
      <w:r>
        <w:rPr>
          <w:rFonts w:hint="eastAsia" w:ascii="仿宋_GB2312" w:hAnsi="仿宋_GB2312" w:eastAsia="仿宋_GB2312" w:cs="仿宋_GB2312"/>
          <w:b/>
          <w:bCs/>
          <w:color w:val="000000"/>
          <w:spacing w:val="18"/>
          <w:sz w:val="32"/>
          <w:szCs w:val="32"/>
        </w:rPr>
        <w:t>28.帮助企业降低生产经营成本。</w:t>
      </w:r>
      <w:r>
        <w:rPr>
          <w:rFonts w:hint="eastAsia" w:ascii="仿宋" w:hAnsi="仿宋" w:eastAsia="仿宋" w:cs="仿宋"/>
          <w:sz w:val="32"/>
          <w:szCs w:val="40"/>
        </w:rPr>
        <w:t>对2022年疫情中高风险地区或因抗疫要求政府通知征用、暂停运营、临时关闭场所暂时出现生产经营困难的小微企业和个体工商户，在用水、用电、用气上实行“欠费不停供”政策，缓缴期可延续至2022年12月底，缓缴期间免收滞纳金。为鼓励仓山区规上工业企业迅速复工复产，扩大产能，对企业2022年12月的用电量给予用电补助，企业用电量超过去年同期用电量0%-15%的，增量部分按每千瓦时给予0.1元补助；企业用电量超过去年同期用电量15%以上的，增量部分按每千瓦时给予0.15元补助，封顶10万元。继续按照国家、省、市、区出台的国有房屋租金减免政策做好承租国有房产租金减免工作（2022年免租3个月，列入中高风险区域的再减免3个月），鼓励大型商务楼宇、商场、园区等各类市场运营主体为实体经营的承租户适当减免租金。鼓励工业园区内有条件的厂房业主为制造业困难企业减免租金。（责任单位：区建设局、国资中心、财政局、房管局、机关事务中心，相关工业园区管委会，供电中心、自来水公司、各燃气企业，建新镇、盖山镇、城门镇等）</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hAnsi="仿宋_GB2312" w:eastAsia="仿宋_GB2312" w:cs="仿宋_GB2312"/>
          <w:spacing w:val="18"/>
          <w:sz w:val="32"/>
          <w:szCs w:val="32"/>
        </w:rPr>
      </w:pPr>
      <w:r>
        <w:rPr>
          <w:rFonts w:hint="eastAsia" w:ascii="仿宋_GB2312" w:hAnsi="仿宋_GB2312" w:eastAsia="仿宋_GB2312" w:cs="仿宋_GB2312"/>
          <w:b/>
          <w:bCs/>
          <w:color w:val="000000"/>
          <w:spacing w:val="18"/>
          <w:sz w:val="32"/>
          <w:szCs w:val="32"/>
        </w:rPr>
        <w:t>29.落实失业保险稳岗返还。</w:t>
      </w:r>
      <w:r>
        <w:rPr>
          <w:rFonts w:hint="eastAsia" w:ascii="仿宋" w:hAnsi="仿宋" w:eastAsia="仿宋" w:cs="仿宋"/>
          <w:sz w:val="32"/>
          <w:szCs w:val="40"/>
        </w:rPr>
        <w:t>对不裁员、少裁员的企业落实失业保险稳岗返还，大型企业按上年度企业和职工实际缴纳失业保险费的50%返还，中小微企业按90%返还。对符合条件的市场主体，按标准落实一次性留工培训补助。（责任单位：区人社局）</w:t>
      </w:r>
    </w:p>
    <w:p>
      <w:pPr>
        <w:pStyle w:val="18"/>
        <w:keepNext w:val="0"/>
        <w:keepLines w:val="0"/>
        <w:pageBreakBefore w:val="0"/>
        <w:kinsoku/>
        <w:wordWrap/>
        <w:overflowPunct/>
        <w:topLinePunct w:val="0"/>
        <w:autoSpaceDE/>
        <w:autoSpaceDN/>
        <w:bidi w:val="0"/>
        <w:spacing w:line="560" w:lineRule="exact"/>
        <w:ind w:firstLine="730" w:firstLineChars="200"/>
        <w:jc w:val="both"/>
        <w:rPr>
          <w:rStyle w:val="24"/>
          <w:rFonts w:hint="eastAsia" w:ascii="仿宋_GB2312" w:hAnsi="仿宋_GB2312" w:eastAsia="仿宋_GB2312" w:cs="仿宋_GB2312"/>
          <w:b w:val="0"/>
          <w:bCs/>
          <w:sz w:val="32"/>
          <w:szCs w:val="32"/>
        </w:rPr>
      </w:pPr>
      <w:r>
        <w:rPr>
          <w:rFonts w:hint="eastAsia" w:ascii="仿宋_GB2312" w:hAnsi="仿宋_GB2312" w:eastAsia="仿宋_GB2312" w:cs="仿宋_GB2312"/>
          <w:b/>
          <w:bCs/>
          <w:color w:val="000000"/>
          <w:spacing w:val="18"/>
          <w:sz w:val="32"/>
          <w:szCs w:val="32"/>
        </w:rPr>
        <w:t>30.支持企业引工用工。</w:t>
      </w:r>
      <w:r>
        <w:rPr>
          <w:rFonts w:hint="eastAsia" w:ascii="仿宋" w:hAnsi="仿宋" w:eastAsia="仿宋" w:cs="仿宋"/>
          <w:sz w:val="32"/>
          <w:szCs w:val="40"/>
        </w:rPr>
        <w:t>配合福州市开展“好年华·聚福州”系列活动，推动高校毕业生就业。对2022年招用离校两年内未就业普通高校毕业生和登记失业的16-24岁青年，并签订一年以上劳动合同且参加失业保险的企业，按人均1500元标准发放一次性扩岗补助。继续在中西部省份建立劳务协作基地，并予以建站补助。鼓励人力资源机构为我区重点企业引进各类劳动力，在我区稳定就业3个月以上的，按人均300-500元标准，对人力资源机构予以引工奖励。（责任单位：区人社局）</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hAnsi="仿宋_GB2312" w:eastAsia="仿宋_GB2312" w:cs="仿宋_GB2312"/>
          <w:spacing w:val="18"/>
          <w:sz w:val="32"/>
          <w:szCs w:val="32"/>
        </w:rPr>
      </w:pPr>
      <w:r>
        <w:rPr>
          <w:rFonts w:hint="eastAsia" w:ascii="仿宋_GB2312" w:hAnsi="仿宋_GB2312" w:eastAsia="仿宋_GB2312" w:cs="仿宋_GB2312"/>
          <w:b/>
          <w:bCs/>
          <w:color w:val="000000"/>
          <w:spacing w:val="18"/>
          <w:sz w:val="32"/>
          <w:szCs w:val="32"/>
        </w:rPr>
        <w:t>31.优化提升涉企服务。</w:t>
      </w:r>
      <w:r>
        <w:rPr>
          <w:rFonts w:hint="eastAsia" w:ascii="仿宋" w:hAnsi="仿宋" w:eastAsia="仿宋" w:cs="仿宋"/>
          <w:sz w:val="32"/>
          <w:szCs w:val="40"/>
        </w:rPr>
        <w:t>深化“一窗受理”改革，提升“一站式”办理便利化水平。进一步深化商事制度改革，积极配合福州市市场监督管理局推动《福州市市场主体歇业备案试点工作方案（征求意见稿）》尽快落地，严格落实相关歇业备案登记制度，进一步降低市场主体维持成本，助力市场主体渡过经营困难期。加强企业信用服务，对疫情期间出现的失信行为审慎认定。（责任单位：区行政服务中心管委会、司法局、市场监管局、发改局、贸促会等）</w:t>
      </w:r>
    </w:p>
    <w:p>
      <w:pPr>
        <w:pStyle w:val="18"/>
        <w:keepNext w:val="0"/>
        <w:keepLines w:val="0"/>
        <w:pageBreakBefore w:val="0"/>
        <w:kinsoku/>
        <w:wordWrap/>
        <w:overflowPunct/>
        <w:topLinePunct w:val="0"/>
        <w:autoSpaceDE/>
        <w:autoSpaceDN/>
        <w:bidi w:val="0"/>
        <w:spacing w:line="560" w:lineRule="exact"/>
        <w:ind w:firstLine="634" w:firstLineChars="200"/>
        <w:jc w:val="both"/>
        <w:rPr>
          <w:rStyle w:val="24"/>
          <w:rFonts w:hint="eastAsia" w:ascii="楷体_GB2312" w:hAnsi="楷体_GB2312" w:eastAsia="楷体_GB2312" w:cs="楷体_GB2312"/>
          <w:b w:val="0"/>
          <w:bCs/>
          <w:sz w:val="32"/>
          <w:szCs w:val="32"/>
        </w:rPr>
      </w:pPr>
      <w:r>
        <w:rPr>
          <w:rStyle w:val="24"/>
          <w:rFonts w:hint="eastAsia" w:ascii="楷体_GB2312" w:hAnsi="楷体_GB2312" w:eastAsia="楷体_GB2312" w:cs="楷体_GB2312"/>
          <w:b w:val="0"/>
          <w:bCs/>
          <w:sz w:val="32"/>
          <w:szCs w:val="32"/>
        </w:rPr>
        <w:t>（五）保安全促稳定专项行动</w:t>
      </w:r>
    </w:p>
    <w:p>
      <w:pPr>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hAnsi="仿宋_GB2312" w:eastAsia="仿宋_GB2312" w:cs="仿宋_GB2312"/>
          <w:b/>
          <w:bCs/>
          <w:spacing w:val="18"/>
          <w:sz w:val="32"/>
          <w:szCs w:val="32"/>
        </w:rPr>
      </w:pPr>
      <w:r>
        <w:rPr>
          <w:rFonts w:hint="eastAsia" w:ascii="仿宋_GB2312" w:hAnsi="仿宋_GB2312" w:eastAsia="仿宋_GB2312" w:cs="仿宋_GB2312"/>
          <w:b/>
          <w:bCs/>
          <w:color w:val="000000"/>
          <w:spacing w:val="18"/>
          <w:sz w:val="32"/>
          <w:szCs w:val="32"/>
        </w:rPr>
        <w:t>32.持续加强疫情防控能力。</w:t>
      </w:r>
      <w:r>
        <w:rPr>
          <w:rFonts w:hint="eastAsia" w:ascii="仿宋" w:hAnsi="仿宋" w:eastAsia="仿宋" w:cs="仿宋"/>
          <w:sz w:val="32"/>
          <w:szCs w:val="40"/>
        </w:rPr>
        <w:t>坚持“外防输入、内防反弹”，织密扎牢疫情防控“安全网”。加强核酸检测、隔离管控、流调溯源、方舱医院建设、防控物资采购等疫情防控支出统筹，对城门镇、盖山镇、建新镇、金山街道等人口数量较大、防疫压力较重的镇街予以适当倾斜。配合上级部门，建立健全区级防疫物资保供一体化机制，加快推进区属国企与省属、市属医药企业深度合作，做大防疫(医疗)物资“蓄水池”。加快疫情防控一体化服务平台推广应用，积极对接省大数据集团，先行试点打通网格化管理平台，综合利用多种科技手段，进一步强化“无疫社区”创建工作。提升永辉、朴朴、彩食鲜等本地重点保供企业经营性库存量，备足应急货源，明确投放网格，构建多方参与、多元供给的物资保障体系。加强对春晖制衣、蓝佳堂等防疫物资生产企业的扶持，重点保障企业产能不受影响，鼓励企业技术改造、扩大产能。把严交通运输端口，科学增强核酸检测、防疫物资储备、转运车辆等各项力量，提高查验管控效率。（责任单位：区疫情防控指挥部各成员单位）</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hAnsi="仿宋_GB2312" w:eastAsia="仿宋_GB2312" w:cs="仿宋_GB2312"/>
          <w:spacing w:val="18"/>
          <w:sz w:val="32"/>
          <w:szCs w:val="32"/>
        </w:rPr>
      </w:pPr>
      <w:r>
        <w:rPr>
          <w:rFonts w:hint="eastAsia" w:ascii="仿宋_GB2312" w:hAnsi="仿宋_GB2312" w:eastAsia="仿宋_GB2312" w:cs="仿宋_GB2312"/>
          <w:b/>
          <w:bCs/>
          <w:color w:val="000000"/>
          <w:spacing w:val="18"/>
          <w:sz w:val="32"/>
          <w:szCs w:val="32"/>
        </w:rPr>
        <w:t>33.防范化解金融风险。</w:t>
      </w:r>
      <w:r>
        <w:rPr>
          <w:rFonts w:hint="eastAsia" w:ascii="仿宋" w:hAnsi="仿宋" w:eastAsia="仿宋" w:cs="仿宋"/>
          <w:sz w:val="32"/>
          <w:szCs w:val="40"/>
        </w:rPr>
        <w:t>健全地方金融监管体系，不断完善金融风险防控体制机制。综合利用大数据技术手段，强化金融监测预警。扎实推进互联网金融风险整治。加强行业监管，引导合法合规经营，服务实体经济，进一步优化金融生态环境。（责任单位：区金融办）</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hAnsi="仿宋_GB2312" w:eastAsia="仿宋_GB2312" w:cs="仿宋_GB2312"/>
          <w:spacing w:val="18"/>
          <w:sz w:val="32"/>
          <w:szCs w:val="32"/>
        </w:rPr>
      </w:pPr>
      <w:r>
        <w:rPr>
          <w:rFonts w:hint="eastAsia" w:ascii="仿宋_GB2312" w:hAnsi="仿宋_GB2312" w:eastAsia="仿宋_GB2312" w:cs="仿宋_GB2312"/>
          <w:b/>
          <w:bCs/>
          <w:color w:val="000000"/>
          <w:spacing w:val="18"/>
          <w:sz w:val="32"/>
          <w:szCs w:val="32"/>
        </w:rPr>
        <w:t>34.促进房地产良性循环和健康发展。</w:t>
      </w:r>
      <w:r>
        <w:rPr>
          <w:rFonts w:hint="eastAsia" w:ascii="仿宋" w:hAnsi="仿宋" w:eastAsia="仿宋" w:cs="仿宋"/>
          <w:sz w:val="32"/>
          <w:szCs w:val="40"/>
        </w:rPr>
        <w:t>配合市直部门落实保交楼、保民生、保稳定工作，化解存量风险项目，做好房地产企业的走访、约谈，加强跟踪经济指标，促进房地产良性循环和健康发展。（责任单位：区房管局、资规局等）</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hAnsi="仿宋_GB2312" w:eastAsia="仿宋_GB2312" w:cs="仿宋_GB2312"/>
          <w:spacing w:val="18"/>
          <w:sz w:val="32"/>
          <w:szCs w:val="32"/>
        </w:rPr>
      </w:pPr>
      <w:r>
        <w:rPr>
          <w:rFonts w:hint="eastAsia" w:ascii="仿宋_GB2312" w:hAnsi="仿宋_GB2312" w:eastAsia="仿宋_GB2312" w:cs="仿宋_GB2312"/>
          <w:b/>
          <w:bCs/>
          <w:color w:val="000000"/>
          <w:spacing w:val="18"/>
          <w:sz w:val="32"/>
          <w:szCs w:val="32"/>
        </w:rPr>
        <w:t>35.做好重要民生商品保供稳价工作。</w:t>
      </w:r>
      <w:r>
        <w:rPr>
          <w:rFonts w:hint="eastAsia" w:ascii="仿宋" w:hAnsi="仿宋" w:eastAsia="仿宋" w:cs="仿宋"/>
          <w:sz w:val="32"/>
          <w:szCs w:val="40"/>
        </w:rPr>
        <w:t>对永辉、朴朴、彩食鲜、沃尔玛、大润发等重点保供企业的米、面、油、肉、菜、蛋、奶等重要生活必需品的进、销、存情况以及价格走势实行动态监测。鼓励企业增加经营性库存，落实后续货源及应急补货渠道，明确投放网络，构建多方参与、多元供给的应急物资保障体系，使企业库存成为政府储备的有效补充。依托12315、12345两大投诉举报平台畅通投诉举报渠道，及时处理群众投诉举报，密切关注媒体、网络舆情，提高应急响应和快速处置能力。加大市场巡查力度，特别是加大粮油蛋奶菜等重要民生的检查力度，依法严厉打击囤积居奇、哄抬物价、扰乱市场的行为。（责任单位：区商务局、发改局（粮储局）、市场监管局等）</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仿宋_GB2312" w:hAnsi="仿宋_GB2312" w:eastAsia="仿宋_GB2312" w:cs="仿宋_GB2312"/>
          <w:b/>
          <w:bCs/>
          <w:spacing w:val="18"/>
          <w:sz w:val="32"/>
          <w:szCs w:val="32"/>
        </w:rPr>
      </w:pPr>
      <w:r>
        <w:rPr>
          <w:rFonts w:hint="eastAsia" w:ascii="仿宋_GB2312" w:hAnsi="仿宋_GB2312" w:eastAsia="仿宋_GB2312" w:cs="仿宋_GB2312"/>
          <w:b/>
          <w:bCs/>
          <w:color w:val="000000"/>
          <w:spacing w:val="18"/>
          <w:sz w:val="32"/>
          <w:szCs w:val="32"/>
        </w:rPr>
        <w:t>36.加强民生兜底保障。</w:t>
      </w:r>
      <w:r>
        <w:rPr>
          <w:rFonts w:hint="eastAsia" w:ascii="仿宋" w:hAnsi="仿宋" w:eastAsia="仿宋" w:cs="仿宋"/>
          <w:sz w:val="32"/>
          <w:szCs w:val="40"/>
        </w:rPr>
        <w:t>建立临时救助主动发现工作机制，加大针对困难群体的排查力度，在日常入户核查、疫情防控宣传、安全隐患排查等走访入户中，及时主动发现、了解、掌握群众遭遇的突发事件、重大变故等特殊困难情况，实现“人找政策”到“政策找人”。建立社会救助“一门受理、协同办理”机制，设立申请救助受理窗口，并简化申办程序，对于需立即采取救助措施的群众采取“先行救助，后补齐手续”的方式，开辟及时解决需救助家庭的临时性、突发性生活困难的绿色通道。认真落实价格补贴联动机制，及时向困难群众发放价格补贴，更好地保障困难群众基本生活，切实做到“应保尽保、应补尽补”。将低保、特困等11类学生全部纳入政府资助范围，根据学生所在学段不同给与不同标准的资助。收集辖区低保、特困人群、低保边缘家庭成员基本信息，及时予以办理医疗保险参保手续，确保相关人员及时享受医疗保险及医疗救助待遇，落实低保边缘家庭成员高血压、糖尿病患者纳入医保范围的药品费用100%报销政策，减轻医疗费用负担。（责任单位：区民政局、发改局、医保局、教育局、房管局等）</w:t>
      </w:r>
    </w:p>
    <w:p>
      <w:pPr>
        <w:pStyle w:val="18"/>
        <w:keepNext w:val="0"/>
        <w:keepLines w:val="0"/>
        <w:pageBreakBefore w:val="0"/>
        <w:kinsoku/>
        <w:wordWrap/>
        <w:overflowPunct/>
        <w:topLinePunct w:val="0"/>
        <w:autoSpaceDE/>
        <w:autoSpaceDN/>
        <w:bidi w:val="0"/>
        <w:spacing w:line="560" w:lineRule="exact"/>
        <w:ind w:firstLine="730" w:firstLineChars="200"/>
        <w:jc w:val="both"/>
        <w:rPr>
          <w:rFonts w:hint="eastAsia" w:ascii="黑体" w:hAnsi="黑体" w:eastAsia="黑体" w:cs="黑体"/>
          <w:sz w:val="32"/>
          <w:szCs w:val="40"/>
        </w:rPr>
      </w:pPr>
      <w:r>
        <w:rPr>
          <w:rFonts w:hint="eastAsia" w:ascii="仿宋_GB2312" w:hAnsi="仿宋_GB2312" w:eastAsia="仿宋_GB2312" w:cs="仿宋_GB2312"/>
          <w:b/>
          <w:bCs/>
          <w:color w:val="000000"/>
          <w:spacing w:val="18"/>
          <w:sz w:val="32"/>
          <w:szCs w:val="32"/>
        </w:rPr>
        <w:t>37.从严从紧抓好安全稳定工作。</w:t>
      </w:r>
      <w:r>
        <w:rPr>
          <w:rFonts w:hint="eastAsia" w:ascii="仿宋" w:hAnsi="仿宋" w:eastAsia="仿宋" w:cs="仿宋"/>
          <w:sz w:val="32"/>
          <w:szCs w:val="40"/>
        </w:rPr>
        <w:t>夯实部门监管责任，压实安全生产工作职责，坚决防范重特大生产安全事故。深入开展危险化学品、民爆物品、交通运输、寄递物流等领域风险整治，及时堵塞管理漏洞，消除重大安全隐患，坚决防范重特大生产安全事故。以全区公安机关年度综评“百日冲刺”专项行动为抓手，持续加大治安突出问题打击整治力度，严抓严打“盗抢骗、黄赌毒、食药黄、枪刀爆”等违法犯罪行为，有效净化辖区治安环境。做好信访风险评估，积极化解可能影响项目建设和社会稳定的各类隐患。（责任单位：区应急管理局、仓山公安分局、信访局等）</w:t>
      </w:r>
    </w:p>
    <w:p>
      <w:pPr>
        <w:keepNext w:val="0"/>
        <w:keepLines w:val="0"/>
        <w:pageBreakBefore w:val="0"/>
        <w:kinsoku/>
        <w:wordWrap/>
        <w:overflowPunct/>
        <w:topLinePunct w:val="0"/>
        <w:autoSpaceDE/>
        <w:autoSpaceDN/>
        <w:bidi w:val="0"/>
        <w:snapToGrid w:val="0"/>
        <w:spacing w:line="560" w:lineRule="exact"/>
        <w:ind w:firstLine="634" w:firstLineChars="200"/>
        <w:jc w:val="both"/>
        <w:rPr>
          <w:rFonts w:hint="eastAsia" w:ascii="黑体" w:hAnsi="黑体" w:eastAsia="黑体" w:cs="黑体"/>
          <w:sz w:val="32"/>
          <w:szCs w:val="40"/>
        </w:rPr>
      </w:pPr>
      <w:r>
        <w:rPr>
          <w:rFonts w:hint="eastAsia" w:ascii="黑体" w:hAnsi="黑体" w:eastAsia="黑体" w:cs="黑体"/>
          <w:sz w:val="32"/>
          <w:szCs w:val="40"/>
        </w:rPr>
        <w:t>三、组织保障</w:t>
      </w:r>
    </w:p>
    <w:p>
      <w:pPr>
        <w:keepNext w:val="0"/>
        <w:keepLines w:val="0"/>
        <w:pageBreakBefore w:val="0"/>
        <w:kinsoku/>
        <w:wordWrap/>
        <w:overflowPunct/>
        <w:topLinePunct w:val="0"/>
        <w:autoSpaceDE/>
        <w:autoSpaceDN/>
        <w:bidi w:val="0"/>
        <w:snapToGrid w:val="0"/>
        <w:spacing w:line="560" w:lineRule="exact"/>
        <w:ind w:firstLine="634" w:firstLineChars="200"/>
        <w:jc w:val="both"/>
        <w:rPr>
          <w:rFonts w:hint="eastAsia" w:ascii="仿宋" w:hAnsi="仿宋" w:eastAsia="仿宋" w:cs="仿宋"/>
          <w:sz w:val="32"/>
          <w:szCs w:val="40"/>
        </w:rPr>
      </w:pPr>
      <w:r>
        <w:rPr>
          <w:rFonts w:hint="eastAsia" w:ascii="楷体" w:hAnsi="楷体" w:eastAsia="楷体" w:cs="楷体"/>
          <w:sz w:val="32"/>
          <w:szCs w:val="40"/>
        </w:rPr>
        <w:t>(一)成立工作专班，加强组织领导。</w:t>
      </w:r>
      <w:r>
        <w:rPr>
          <w:rFonts w:hint="eastAsia" w:ascii="仿宋" w:hAnsi="仿宋" w:eastAsia="仿宋" w:cs="仿宋"/>
          <w:sz w:val="32"/>
          <w:szCs w:val="40"/>
        </w:rPr>
        <w:t>成立分别以区政府分管领导为牵头领导的五个工作专班，协调推进分管领域内的各项工作任务。各部门要深入贯彻党中央、国务院决策部署及省、市工作要求，切实统筹好疫情防控和经济社会发展，会同有关镇街、园区抓紧组织实施，加紧加快推动落实稳经济一揽子政策和接续政策，充分发挥纾困解难政策效应。</w:t>
      </w:r>
    </w:p>
    <w:p>
      <w:pPr>
        <w:keepNext w:val="0"/>
        <w:keepLines w:val="0"/>
        <w:pageBreakBefore w:val="0"/>
        <w:kinsoku/>
        <w:wordWrap/>
        <w:overflowPunct/>
        <w:topLinePunct w:val="0"/>
        <w:autoSpaceDE/>
        <w:autoSpaceDN/>
        <w:bidi w:val="0"/>
        <w:snapToGrid w:val="0"/>
        <w:spacing w:line="560" w:lineRule="exact"/>
        <w:ind w:firstLine="634" w:firstLineChars="200"/>
        <w:jc w:val="both"/>
        <w:rPr>
          <w:rFonts w:hint="eastAsia" w:ascii="仿宋" w:hAnsi="仿宋" w:eastAsia="仿宋" w:cs="仿宋"/>
          <w:sz w:val="32"/>
          <w:szCs w:val="40"/>
        </w:rPr>
      </w:pPr>
      <w:r>
        <w:rPr>
          <w:rFonts w:hint="eastAsia" w:ascii="楷体" w:hAnsi="楷体" w:eastAsia="楷体" w:cs="楷体"/>
          <w:sz w:val="32"/>
          <w:szCs w:val="40"/>
        </w:rPr>
        <w:t>(二)落实主体责任，强化分工合作。</w:t>
      </w:r>
      <w:r>
        <w:rPr>
          <w:rFonts w:hint="eastAsia" w:ascii="仿宋" w:hAnsi="仿宋" w:eastAsia="仿宋" w:cs="仿宋"/>
          <w:sz w:val="32"/>
          <w:szCs w:val="40"/>
        </w:rPr>
        <w:t>各级各部门要高度重视克服疫情影响决胜年末收官战相关工作，坚持问题导向、目标导向、结果导向，抓紧组织实施，完善协调机制，形成分工协作、齐抓共管的工作合力。要切实负起主体责任，保质保量抓好工作落实，结合开展“千名干部进千企”行动下沉一线推动工作，保障各项措施顺利推进落地。</w:t>
      </w:r>
    </w:p>
    <w:p>
      <w:pPr>
        <w:keepNext w:val="0"/>
        <w:keepLines w:val="0"/>
        <w:pageBreakBefore w:val="0"/>
        <w:kinsoku/>
        <w:wordWrap/>
        <w:overflowPunct/>
        <w:topLinePunct w:val="0"/>
        <w:autoSpaceDE/>
        <w:autoSpaceDN/>
        <w:bidi w:val="0"/>
        <w:snapToGrid w:val="0"/>
        <w:spacing w:line="560" w:lineRule="exact"/>
        <w:ind w:firstLine="634" w:firstLineChars="200"/>
        <w:jc w:val="both"/>
        <w:rPr>
          <w:rFonts w:hint="eastAsia" w:ascii="仿宋" w:hAnsi="仿宋" w:eastAsia="仿宋" w:cs="仿宋"/>
          <w:sz w:val="32"/>
          <w:szCs w:val="40"/>
        </w:rPr>
      </w:pPr>
      <w:r>
        <w:rPr>
          <w:rFonts w:hint="eastAsia" w:ascii="楷体" w:hAnsi="楷体" w:eastAsia="楷体" w:cs="楷体"/>
          <w:sz w:val="32"/>
          <w:szCs w:val="40"/>
        </w:rPr>
        <w:t>(三)强化督促检查，保障工作成效。</w:t>
      </w:r>
      <w:r>
        <w:rPr>
          <w:rFonts w:hint="eastAsia" w:ascii="仿宋" w:hAnsi="仿宋" w:eastAsia="仿宋" w:cs="仿宋"/>
          <w:sz w:val="32"/>
          <w:szCs w:val="40"/>
        </w:rPr>
        <w:t>各责任单位要组织力量开展服务督导，对落实情况适时开展跟踪检查，确保做到工作有部署、有落实，按旬汇总阶段性落实情况至区发改局。加强统筹、抓早抓实，全力奋战决胜年末收官战，确保各项年度目标顺利完成。由两办督查室、区效能办对工作完成较好的部门和镇街予以正向激励，对落实工作不力的依规予以严肃问责。</w:t>
      </w:r>
    </w:p>
    <w:p>
      <w:pPr>
        <w:keepNext w:val="0"/>
        <w:keepLines w:val="0"/>
        <w:pageBreakBefore w:val="0"/>
        <w:kinsoku/>
        <w:wordWrap/>
        <w:overflowPunct/>
        <w:topLinePunct w:val="0"/>
        <w:autoSpaceDE/>
        <w:autoSpaceDN/>
        <w:bidi w:val="0"/>
        <w:snapToGrid w:val="0"/>
        <w:spacing w:line="560" w:lineRule="exact"/>
        <w:ind w:firstLine="634" w:firstLineChars="200"/>
        <w:jc w:val="both"/>
        <w:rPr>
          <w:rFonts w:ascii="仿宋" w:hAnsi="仿宋" w:eastAsia="仿宋" w:cs="仿宋"/>
          <w:sz w:val="32"/>
          <w:szCs w:val="40"/>
        </w:rPr>
      </w:pPr>
      <w:r>
        <w:rPr>
          <w:rFonts w:hint="eastAsia" w:ascii="楷体" w:hAnsi="楷体" w:eastAsia="楷体" w:cs="楷体"/>
          <w:sz w:val="32"/>
          <w:szCs w:val="40"/>
        </w:rPr>
        <w:t>(四)根据实际情况，调整优化政策。</w:t>
      </w:r>
      <w:r>
        <w:rPr>
          <w:rFonts w:hint="eastAsia" w:ascii="仿宋" w:hAnsi="仿宋" w:eastAsia="仿宋" w:cs="仿宋"/>
          <w:sz w:val="32"/>
          <w:szCs w:val="40"/>
        </w:rPr>
        <w:t>各级各部门要充分弘扬“马上就办、真抓实干”的优良传统，强调效率效能效益，锚定目标、加压奋进，及时发现问题、帮助解决困难，遇到重要情况要及时上报反馈。加强前瞻谋划，做好政策储备，根据政策实施过程中的实际情况及时调整优化相关政策，确保政策惠民利民、发挥效用。</w:t>
      </w:r>
    </w:p>
    <w:p>
      <w:pPr>
        <w:keepNext w:val="0"/>
        <w:keepLines w:val="0"/>
        <w:pageBreakBefore w:val="0"/>
        <w:kinsoku/>
        <w:wordWrap/>
        <w:overflowPunct/>
        <w:topLinePunct w:val="0"/>
        <w:autoSpaceDE/>
        <w:autoSpaceDN/>
        <w:bidi w:val="0"/>
        <w:snapToGrid w:val="0"/>
        <w:spacing w:line="560" w:lineRule="exact"/>
        <w:ind w:firstLine="634" w:firstLineChars="200"/>
        <w:jc w:val="both"/>
        <w:rPr>
          <w:rFonts w:hint="eastAsia" w:ascii="仿宋" w:hAnsi="仿宋" w:eastAsia="仿宋" w:cs="仿宋"/>
          <w:sz w:val="32"/>
          <w:szCs w:val="40"/>
        </w:rPr>
      </w:pPr>
      <w:r>
        <w:rPr>
          <w:rFonts w:hint="eastAsia" w:ascii="仿宋" w:hAnsi="仿宋" w:eastAsia="仿宋" w:cs="仿宋"/>
          <w:sz w:val="32"/>
          <w:szCs w:val="40"/>
        </w:rPr>
        <w:t>本方案自印发之日起施行，有效期至2022年12月31日。</w:t>
      </w:r>
    </w:p>
    <w:p>
      <w:pPr>
        <w:keepNext w:val="0"/>
        <w:keepLines w:val="0"/>
        <w:pageBreakBefore w:val="0"/>
        <w:kinsoku/>
        <w:wordWrap/>
        <w:overflowPunct/>
        <w:topLinePunct w:val="0"/>
        <w:autoSpaceDE/>
        <w:autoSpaceDN/>
        <w:bidi w:val="0"/>
        <w:snapToGrid w:val="0"/>
        <w:spacing w:line="560" w:lineRule="exact"/>
        <w:ind w:firstLine="634" w:firstLineChars="200"/>
        <w:jc w:val="both"/>
        <w:rPr>
          <w:rFonts w:hint="eastAsia" w:ascii="仿宋" w:hAnsi="仿宋" w:eastAsia="仿宋" w:cs="仿宋"/>
          <w:sz w:val="32"/>
          <w:szCs w:val="40"/>
        </w:rPr>
      </w:pPr>
    </w:p>
    <w:p>
      <w:pPr>
        <w:keepNext w:val="0"/>
        <w:keepLines w:val="0"/>
        <w:pageBreakBefore w:val="0"/>
        <w:kinsoku/>
        <w:wordWrap/>
        <w:overflowPunct/>
        <w:topLinePunct w:val="0"/>
        <w:autoSpaceDE/>
        <w:autoSpaceDN/>
        <w:bidi w:val="0"/>
        <w:snapToGrid w:val="0"/>
        <w:spacing w:line="560" w:lineRule="exact"/>
        <w:ind w:firstLine="634" w:firstLineChars="200"/>
        <w:jc w:val="both"/>
        <w:rPr>
          <w:rFonts w:hint="eastAsia" w:ascii="仿宋" w:hAnsi="仿宋" w:eastAsia="仿宋" w:cs="仿宋"/>
          <w:sz w:val="32"/>
          <w:szCs w:val="40"/>
        </w:rPr>
      </w:pPr>
      <w:r>
        <w:rPr>
          <w:rFonts w:hint="eastAsia" w:ascii="仿宋" w:hAnsi="仿宋" w:eastAsia="仿宋" w:cs="仿宋"/>
          <w:sz w:val="32"/>
          <w:szCs w:val="40"/>
        </w:rPr>
        <w:t>附件:1.仓山区克服疫情影响决胜年末收官战工作专班</w:t>
      </w:r>
    </w:p>
    <w:p>
      <w:pPr>
        <w:keepNext w:val="0"/>
        <w:keepLines w:val="0"/>
        <w:pageBreakBefore w:val="0"/>
        <w:widowControl w:val="0"/>
        <w:kinsoku/>
        <w:wordWrap/>
        <w:overflowPunct/>
        <w:topLinePunct w:val="0"/>
        <w:autoSpaceDE/>
        <w:autoSpaceDN/>
        <w:bidi w:val="0"/>
        <w:adjustRightInd/>
        <w:snapToGrid w:val="0"/>
        <w:spacing w:line="560" w:lineRule="exact"/>
        <w:ind w:left="-174" w:leftChars="-55" w:firstLine="1585" w:firstLineChars="500"/>
        <w:jc w:val="both"/>
        <w:textAlignment w:val="auto"/>
        <w:rPr>
          <w:rFonts w:hint="eastAsia" w:ascii="仿宋" w:hAnsi="仿宋" w:eastAsia="仿宋" w:cs="仿宋"/>
          <w:sz w:val="32"/>
          <w:szCs w:val="40"/>
        </w:rPr>
      </w:pPr>
      <w:r>
        <w:rPr>
          <w:rFonts w:hint="eastAsia" w:ascii="仿宋" w:hAnsi="仿宋" w:eastAsia="仿宋" w:cs="仿宋"/>
          <w:sz w:val="32"/>
          <w:szCs w:val="40"/>
        </w:rPr>
        <w:t>2.仓山区克服疫情影响决胜年末收官战行动任务分</w:t>
      </w:r>
    </w:p>
    <w:p>
      <w:pPr>
        <w:keepNext w:val="0"/>
        <w:keepLines w:val="0"/>
        <w:pageBreakBefore w:val="0"/>
        <w:widowControl w:val="0"/>
        <w:kinsoku/>
        <w:wordWrap/>
        <w:overflowPunct/>
        <w:topLinePunct w:val="0"/>
        <w:autoSpaceDE/>
        <w:autoSpaceDN/>
        <w:bidi w:val="0"/>
        <w:adjustRightInd/>
        <w:snapToGrid w:val="0"/>
        <w:spacing w:line="560" w:lineRule="exact"/>
        <w:ind w:left="-158" w:leftChars="-50" w:firstLine="1902" w:firstLineChars="600"/>
        <w:jc w:val="both"/>
        <w:textAlignment w:val="auto"/>
        <w:rPr>
          <w:rFonts w:hint="eastAsia" w:ascii="仿宋" w:hAnsi="仿宋" w:eastAsia="仿宋" w:cs="仿宋"/>
          <w:sz w:val="32"/>
          <w:szCs w:val="40"/>
        </w:rPr>
      </w:pPr>
      <w:r>
        <w:rPr>
          <w:rFonts w:hint="eastAsia" w:ascii="仿宋" w:hAnsi="仿宋" w:eastAsia="仿宋" w:cs="仿宋"/>
          <w:sz w:val="32"/>
          <w:szCs w:val="40"/>
        </w:rPr>
        <w:t>解清单</w:t>
      </w:r>
    </w:p>
    <w:p>
      <w:pPr>
        <w:keepNext w:val="0"/>
        <w:keepLines w:val="0"/>
        <w:pageBreakBefore w:val="0"/>
        <w:kinsoku/>
        <w:wordWrap/>
        <w:overflowPunct/>
        <w:topLinePunct w:val="0"/>
        <w:autoSpaceDE/>
        <w:autoSpaceDN/>
        <w:bidi w:val="0"/>
        <w:snapToGrid w:val="0"/>
        <w:spacing w:line="560" w:lineRule="exact"/>
        <w:ind w:firstLine="634" w:firstLineChars="200"/>
        <w:jc w:val="both"/>
        <w:rPr>
          <w:rFonts w:ascii="黑体" w:hAnsi="黑体" w:eastAsia="黑体" w:cs="黑体"/>
          <w:sz w:val="32"/>
          <w:szCs w:val="40"/>
        </w:rPr>
      </w:pPr>
      <w:r>
        <w:rPr>
          <w:rFonts w:hint="eastAsia" w:ascii="仿宋" w:hAnsi="仿宋" w:eastAsia="仿宋" w:cs="仿宋"/>
          <w:sz w:val="32"/>
          <w:szCs w:val="40"/>
        </w:rPr>
        <w:br w:type="page"/>
      </w:r>
      <w:r>
        <w:rPr>
          <w:rFonts w:hint="eastAsia" w:ascii="黑体" w:hAnsi="黑体" w:eastAsia="黑体" w:cs="黑体"/>
          <w:sz w:val="32"/>
          <w:szCs w:val="40"/>
        </w:rPr>
        <w:t>附件1</w:t>
      </w:r>
    </w:p>
    <w:p>
      <w:pPr>
        <w:keepNext w:val="0"/>
        <w:keepLines w:val="0"/>
        <w:pageBreakBefore w:val="0"/>
        <w:kinsoku/>
        <w:wordWrap/>
        <w:overflowPunct/>
        <w:topLinePunct w:val="0"/>
        <w:autoSpaceDE/>
        <w:autoSpaceDN/>
        <w:bidi w:val="0"/>
        <w:snapToGrid w:val="0"/>
        <w:spacing w:line="560" w:lineRule="exact"/>
        <w:jc w:val="both"/>
        <w:rPr>
          <w:rFonts w:hint="eastAsia" w:ascii="仿宋" w:hAnsi="仿宋" w:eastAsia="仿宋" w:cs="仿宋"/>
          <w:sz w:val="32"/>
          <w:szCs w:val="40"/>
        </w:rPr>
      </w:pPr>
    </w:p>
    <w:p>
      <w:pPr>
        <w:keepNext w:val="0"/>
        <w:keepLines w:val="0"/>
        <w:pageBreakBefore w:val="0"/>
        <w:kinsoku/>
        <w:wordWrap/>
        <w:overflowPunct/>
        <w:topLinePunct w:val="0"/>
        <w:autoSpaceDE/>
        <w:autoSpaceDN/>
        <w:bidi w:val="0"/>
        <w:snapToGrid w:val="0"/>
        <w:spacing w:line="560" w:lineRule="exact"/>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仓山区克服疫情影响决胜年末收官战</w:t>
      </w:r>
    </w:p>
    <w:p>
      <w:pPr>
        <w:keepNext w:val="0"/>
        <w:keepLines w:val="0"/>
        <w:pageBreakBefore w:val="0"/>
        <w:kinsoku/>
        <w:wordWrap/>
        <w:overflowPunct/>
        <w:topLinePunct w:val="0"/>
        <w:autoSpaceDE/>
        <w:autoSpaceDN/>
        <w:bidi w:val="0"/>
        <w:snapToGrid w:val="0"/>
        <w:spacing w:line="560" w:lineRule="exact"/>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工作专班</w:t>
      </w:r>
    </w:p>
    <w:p>
      <w:pPr>
        <w:keepNext w:val="0"/>
        <w:keepLines w:val="0"/>
        <w:pageBreakBefore w:val="0"/>
        <w:kinsoku/>
        <w:wordWrap/>
        <w:overflowPunct/>
        <w:topLinePunct w:val="0"/>
        <w:autoSpaceDE/>
        <w:autoSpaceDN/>
        <w:bidi w:val="0"/>
        <w:snapToGrid w:val="0"/>
        <w:spacing w:line="560" w:lineRule="exact"/>
        <w:jc w:val="both"/>
        <w:rPr>
          <w:rFonts w:hint="eastAsia" w:ascii="方正小标宋简体" w:hAnsi="方正小标宋简体" w:eastAsia="方正小标宋简体" w:cs="方正小标宋简体"/>
          <w:sz w:val="44"/>
          <w:szCs w:val="52"/>
        </w:rPr>
      </w:pPr>
    </w:p>
    <w:p>
      <w:pPr>
        <w:pStyle w:val="18"/>
        <w:keepNext w:val="0"/>
        <w:keepLines w:val="0"/>
        <w:pageBreakBefore w:val="0"/>
        <w:widowControl/>
        <w:kinsoku/>
        <w:wordWrap/>
        <w:overflowPunct/>
        <w:topLinePunct w:val="0"/>
        <w:autoSpaceDE/>
        <w:autoSpaceDN/>
        <w:bidi w:val="0"/>
        <w:spacing w:line="560" w:lineRule="exact"/>
        <w:ind w:firstLine="634" w:firstLineChars="200"/>
        <w:jc w:val="both"/>
      </w:pPr>
      <w:r>
        <w:rPr>
          <w:rFonts w:hint="eastAsia" w:ascii="仿宋" w:hAnsi="仿宋" w:eastAsia="仿宋" w:cs="仿宋"/>
          <w:color w:val="000000"/>
          <w:sz w:val="32"/>
          <w:szCs w:val="32"/>
        </w:rPr>
        <w:t>为更好推动《仓山区克服疫情影响决胜年末收官战行动方案》实施，统筹推进五大专项行动，圆满完成年末各项目标任务，决定成立五个工作专班，具体如下:</w:t>
      </w:r>
    </w:p>
    <w:p>
      <w:pPr>
        <w:pStyle w:val="18"/>
        <w:keepNext w:val="0"/>
        <w:keepLines w:val="0"/>
        <w:pageBreakBefore w:val="0"/>
        <w:widowControl/>
        <w:kinsoku/>
        <w:wordWrap/>
        <w:overflowPunct/>
        <w:topLinePunct w:val="0"/>
        <w:autoSpaceDE/>
        <w:autoSpaceDN/>
        <w:bidi w:val="0"/>
        <w:spacing w:line="560" w:lineRule="exact"/>
        <w:ind w:firstLine="634" w:firstLineChars="200"/>
        <w:jc w:val="both"/>
      </w:pPr>
      <w:r>
        <w:rPr>
          <w:rFonts w:ascii="黑体" w:hAnsi="宋体" w:eastAsia="黑体" w:cs="黑体"/>
          <w:color w:val="000000"/>
          <w:sz w:val="32"/>
          <w:szCs w:val="32"/>
        </w:rPr>
        <w:t>一、强产业稳增长专项行动工作专班</w:t>
      </w:r>
    </w:p>
    <w:p>
      <w:pPr>
        <w:pStyle w:val="18"/>
        <w:keepNext w:val="0"/>
        <w:keepLines w:val="0"/>
        <w:pageBreakBefore w:val="0"/>
        <w:widowControl/>
        <w:kinsoku/>
        <w:wordWrap/>
        <w:overflowPunct/>
        <w:topLinePunct w:val="0"/>
        <w:autoSpaceDE/>
        <w:autoSpaceDN/>
        <w:bidi w:val="0"/>
        <w:spacing w:line="560" w:lineRule="exact"/>
        <w:ind w:firstLine="634" w:firstLineChars="200"/>
        <w:jc w:val="both"/>
      </w:pPr>
      <w:r>
        <w:rPr>
          <w:rFonts w:hint="eastAsia" w:ascii="仿宋" w:hAnsi="仿宋" w:eastAsia="仿宋" w:cs="仿宋"/>
          <w:b/>
          <w:bCs/>
          <w:color w:val="000000"/>
          <w:sz w:val="32"/>
          <w:szCs w:val="32"/>
        </w:rPr>
        <w:t>牵头区领导：</w:t>
      </w:r>
      <w:r>
        <w:rPr>
          <w:rFonts w:hint="eastAsia" w:ascii="仿宋" w:hAnsi="仿宋" w:eastAsia="仿宋" w:cs="仿宋"/>
          <w:color w:val="000000"/>
          <w:sz w:val="32"/>
          <w:szCs w:val="32"/>
        </w:rPr>
        <w:t>余垂霄、高晓健、钟治民等同志按职责分工负责</w:t>
      </w:r>
    </w:p>
    <w:p>
      <w:pPr>
        <w:pStyle w:val="18"/>
        <w:keepNext w:val="0"/>
        <w:keepLines w:val="0"/>
        <w:pageBreakBefore w:val="0"/>
        <w:widowControl/>
        <w:kinsoku/>
        <w:wordWrap/>
        <w:overflowPunct/>
        <w:topLinePunct w:val="0"/>
        <w:autoSpaceDE/>
        <w:autoSpaceDN/>
        <w:bidi w:val="0"/>
        <w:adjustRightInd w:val="0"/>
        <w:snapToGrid w:val="0"/>
        <w:spacing w:line="560" w:lineRule="exact"/>
        <w:ind w:firstLine="634" w:firstLineChars="200"/>
        <w:jc w:val="both"/>
        <w:rPr>
          <w:rFonts w:ascii="仿宋" w:hAnsi="仿宋" w:eastAsia="仿宋" w:cs="仿宋"/>
          <w:color w:val="000000"/>
          <w:sz w:val="32"/>
          <w:szCs w:val="32"/>
        </w:rPr>
      </w:pPr>
      <w:r>
        <w:rPr>
          <w:rFonts w:hint="eastAsia" w:ascii="仿宋" w:hAnsi="仿宋" w:eastAsia="仿宋" w:cs="仿宋"/>
          <w:b/>
          <w:bCs/>
          <w:color w:val="000000"/>
          <w:sz w:val="32"/>
          <w:szCs w:val="32"/>
        </w:rPr>
        <w:t>牵头部门：</w:t>
      </w:r>
      <w:r>
        <w:rPr>
          <w:rFonts w:hint="eastAsia" w:ascii="仿宋" w:hAnsi="仿宋" w:eastAsia="仿宋" w:cs="仿宋"/>
          <w:color w:val="000000"/>
          <w:sz w:val="32"/>
          <w:szCs w:val="32"/>
        </w:rPr>
        <w:t>区工信局、商务局、城乡建设局</w:t>
      </w:r>
    </w:p>
    <w:p>
      <w:pPr>
        <w:pStyle w:val="18"/>
        <w:keepNext w:val="0"/>
        <w:keepLines w:val="0"/>
        <w:pageBreakBefore w:val="0"/>
        <w:widowControl/>
        <w:kinsoku/>
        <w:wordWrap/>
        <w:overflowPunct/>
        <w:topLinePunct w:val="0"/>
        <w:autoSpaceDE/>
        <w:autoSpaceDN/>
        <w:bidi w:val="0"/>
        <w:adjustRightInd w:val="0"/>
        <w:snapToGrid w:val="0"/>
        <w:spacing w:line="560" w:lineRule="exact"/>
        <w:ind w:firstLine="634" w:firstLineChars="200"/>
        <w:jc w:val="both"/>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责任部门：</w:t>
      </w:r>
      <w:r>
        <w:rPr>
          <w:rFonts w:hint="eastAsia" w:ascii="仿宋" w:hAnsi="仿宋" w:eastAsia="仿宋" w:cs="仿宋"/>
          <w:color w:val="000000"/>
          <w:sz w:val="32"/>
          <w:szCs w:val="32"/>
        </w:rPr>
        <w:t>区财政局、资规局</w:t>
      </w:r>
      <w:r>
        <w:rPr>
          <w:rFonts w:hint="eastAsia" w:ascii="仿宋" w:hAnsi="仿宋" w:eastAsia="仿宋" w:cs="仿宋"/>
          <w:color w:val="000000"/>
          <w:sz w:val="32"/>
          <w:szCs w:val="32"/>
          <w:lang w:eastAsia="zh-CN"/>
        </w:rPr>
        <w:t>、科技局等</w:t>
      </w:r>
    </w:p>
    <w:p>
      <w:pPr>
        <w:pStyle w:val="18"/>
        <w:keepNext w:val="0"/>
        <w:keepLines w:val="0"/>
        <w:pageBreakBefore w:val="0"/>
        <w:widowControl/>
        <w:kinsoku/>
        <w:wordWrap/>
        <w:overflowPunct/>
        <w:topLinePunct w:val="0"/>
        <w:autoSpaceDE/>
        <w:autoSpaceDN/>
        <w:bidi w:val="0"/>
        <w:adjustRightInd w:val="0"/>
        <w:snapToGrid w:val="0"/>
        <w:spacing w:line="560" w:lineRule="exact"/>
        <w:ind w:firstLine="634" w:firstLineChars="200"/>
        <w:jc w:val="both"/>
      </w:pPr>
      <w:r>
        <w:rPr>
          <w:rFonts w:hint="eastAsia" w:ascii="黑体" w:hAnsi="宋体" w:eastAsia="黑体" w:cs="黑体"/>
          <w:color w:val="000000"/>
          <w:sz w:val="32"/>
          <w:szCs w:val="32"/>
        </w:rPr>
        <w:t>二、抓项目扩投资专项行动工作专班</w:t>
      </w:r>
    </w:p>
    <w:p>
      <w:pPr>
        <w:pStyle w:val="18"/>
        <w:keepNext w:val="0"/>
        <w:keepLines w:val="0"/>
        <w:pageBreakBefore w:val="0"/>
        <w:widowControl/>
        <w:kinsoku/>
        <w:wordWrap/>
        <w:overflowPunct/>
        <w:topLinePunct w:val="0"/>
        <w:autoSpaceDE/>
        <w:autoSpaceDN/>
        <w:bidi w:val="0"/>
        <w:spacing w:line="560" w:lineRule="exact"/>
        <w:ind w:firstLine="634" w:firstLineChars="200"/>
        <w:jc w:val="both"/>
        <w:rPr>
          <w:rFonts w:hint="eastAsia"/>
        </w:rPr>
      </w:pPr>
      <w:r>
        <w:rPr>
          <w:rFonts w:hint="eastAsia" w:ascii="仿宋" w:hAnsi="仿宋" w:eastAsia="仿宋" w:cs="仿宋"/>
          <w:b/>
          <w:bCs/>
          <w:color w:val="000000"/>
          <w:sz w:val="32"/>
          <w:szCs w:val="32"/>
        </w:rPr>
        <w:t>牵头区领导：</w:t>
      </w:r>
      <w:r>
        <w:rPr>
          <w:rFonts w:hint="eastAsia" w:ascii="仿宋" w:hAnsi="仿宋" w:eastAsia="仿宋" w:cs="仿宋"/>
          <w:color w:val="000000"/>
          <w:sz w:val="32"/>
          <w:szCs w:val="32"/>
        </w:rPr>
        <w:t>任巍、余垂霄、钟治民等同志按职责分工负责</w:t>
      </w:r>
    </w:p>
    <w:p>
      <w:pPr>
        <w:pStyle w:val="18"/>
        <w:keepNext w:val="0"/>
        <w:keepLines w:val="0"/>
        <w:pageBreakBefore w:val="0"/>
        <w:widowControl/>
        <w:kinsoku/>
        <w:wordWrap/>
        <w:overflowPunct/>
        <w:topLinePunct w:val="0"/>
        <w:autoSpaceDE/>
        <w:autoSpaceDN/>
        <w:bidi w:val="0"/>
        <w:adjustRightInd w:val="0"/>
        <w:snapToGrid w:val="0"/>
        <w:spacing w:line="560" w:lineRule="exact"/>
        <w:ind w:firstLine="634" w:firstLineChars="200"/>
        <w:jc w:val="both"/>
        <w:rPr>
          <w:rFonts w:ascii="仿宋" w:hAnsi="仿宋" w:eastAsia="仿宋" w:cs="仿宋"/>
          <w:color w:val="000000"/>
          <w:sz w:val="32"/>
          <w:szCs w:val="32"/>
        </w:rPr>
      </w:pPr>
      <w:r>
        <w:rPr>
          <w:rFonts w:hint="eastAsia" w:ascii="仿宋" w:hAnsi="仿宋" w:eastAsia="仿宋" w:cs="仿宋"/>
          <w:b/>
          <w:bCs/>
          <w:color w:val="000000"/>
          <w:sz w:val="32"/>
          <w:szCs w:val="32"/>
        </w:rPr>
        <w:t>牵头部门：</w:t>
      </w:r>
      <w:r>
        <w:rPr>
          <w:rFonts w:hint="eastAsia" w:ascii="仿宋" w:hAnsi="仿宋" w:eastAsia="仿宋" w:cs="仿宋"/>
          <w:color w:val="000000"/>
          <w:sz w:val="32"/>
          <w:szCs w:val="32"/>
        </w:rPr>
        <w:t>区发改局、资规局、招商办</w:t>
      </w:r>
    </w:p>
    <w:p>
      <w:pPr>
        <w:pStyle w:val="18"/>
        <w:keepNext w:val="0"/>
        <w:keepLines w:val="0"/>
        <w:pageBreakBefore w:val="0"/>
        <w:widowControl/>
        <w:kinsoku/>
        <w:wordWrap/>
        <w:overflowPunct/>
        <w:topLinePunct w:val="0"/>
        <w:autoSpaceDE/>
        <w:autoSpaceDN/>
        <w:bidi w:val="0"/>
        <w:adjustRightInd w:val="0"/>
        <w:snapToGrid w:val="0"/>
        <w:spacing w:line="560" w:lineRule="exact"/>
        <w:ind w:firstLine="634" w:firstLineChars="200"/>
        <w:jc w:val="both"/>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责任部门：</w:t>
      </w:r>
      <w:r>
        <w:rPr>
          <w:rFonts w:hint="eastAsia" w:ascii="仿宋" w:hAnsi="仿宋" w:eastAsia="仿宋" w:cs="仿宋"/>
          <w:color w:val="000000"/>
          <w:sz w:val="32"/>
          <w:szCs w:val="32"/>
        </w:rPr>
        <w:t>区财政局、工信局、建设局、房管局、生态环境局、行政服务中心管委会、农业农村局、大数据中心、金融办</w:t>
      </w:r>
      <w:r>
        <w:rPr>
          <w:rFonts w:hint="eastAsia" w:ascii="仿宋" w:hAnsi="仿宋" w:eastAsia="仿宋" w:cs="仿宋"/>
          <w:color w:val="000000"/>
          <w:sz w:val="32"/>
          <w:szCs w:val="32"/>
          <w:lang w:eastAsia="zh-CN"/>
        </w:rPr>
        <w:t>等</w:t>
      </w:r>
    </w:p>
    <w:p>
      <w:pPr>
        <w:pStyle w:val="18"/>
        <w:keepNext w:val="0"/>
        <w:keepLines w:val="0"/>
        <w:pageBreakBefore w:val="0"/>
        <w:widowControl/>
        <w:kinsoku/>
        <w:wordWrap/>
        <w:overflowPunct/>
        <w:topLinePunct w:val="0"/>
        <w:autoSpaceDE/>
        <w:autoSpaceDN/>
        <w:bidi w:val="0"/>
        <w:adjustRightInd w:val="0"/>
        <w:snapToGrid w:val="0"/>
        <w:spacing w:line="560" w:lineRule="exact"/>
        <w:ind w:firstLine="634" w:firstLineChars="200"/>
        <w:jc w:val="both"/>
      </w:pPr>
      <w:r>
        <w:rPr>
          <w:rFonts w:hint="eastAsia" w:ascii="黑体" w:hAnsi="宋体" w:eastAsia="黑体" w:cs="黑体"/>
          <w:color w:val="000000"/>
          <w:sz w:val="32"/>
          <w:szCs w:val="32"/>
        </w:rPr>
        <w:t>三、促消费稳市场专项行动工作专班</w:t>
      </w:r>
    </w:p>
    <w:p>
      <w:pPr>
        <w:pStyle w:val="18"/>
        <w:keepNext w:val="0"/>
        <w:keepLines w:val="0"/>
        <w:pageBreakBefore w:val="0"/>
        <w:widowControl/>
        <w:kinsoku/>
        <w:wordWrap/>
        <w:overflowPunct/>
        <w:topLinePunct w:val="0"/>
        <w:autoSpaceDE/>
        <w:autoSpaceDN/>
        <w:bidi w:val="0"/>
        <w:adjustRightInd w:val="0"/>
        <w:snapToGrid w:val="0"/>
        <w:spacing w:line="560" w:lineRule="exact"/>
        <w:ind w:firstLine="634" w:firstLineChars="200"/>
        <w:jc w:val="both"/>
      </w:pPr>
      <w:r>
        <w:rPr>
          <w:rFonts w:hint="eastAsia" w:ascii="仿宋" w:hAnsi="仿宋" w:eastAsia="仿宋" w:cs="仿宋"/>
          <w:b/>
          <w:bCs/>
          <w:color w:val="000000"/>
          <w:sz w:val="32"/>
          <w:szCs w:val="32"/>
        </w:rPr>
        <w:t>牵头区领导：</w:t>
      </w:r>
      <w:r>
        <w:rPr>
          <w:rFonts w:hint="eastAsia" w:ascii="仿宋" w:hAnsi="仿宋" w:eastAsia="仿宋" w:cs="仿宋"/>
          <w:color w:val="000000"/>
          <w:sz w:val="32"/>
          <w:szCs w:val="32"/>
        </w:rPr>
        <w:t>高晓健、叶晓瑜</w:t>
      </w:r>
    </w:p>
    <w:p>
      <w:pPr>
        <w:pStyle w:val="18"/>
        <w:keepNext w:val="0"/>
        <w:keepLines w:val="0"/>
        <w:pageBreakBefore w:val="0"/>
        <w:widowControl/>
        <w:kinsoku/>
        <w:wordWrap/>
        <w:overflowPunct/>
        <w:topLinePunct w:val="0"/>
        <w:autoSpaceDE/>
        <w:autoSpaceDN/>
        <w:bidi w:val="0"/>
        <w:adjustRightInd w:val="0"/>
        <w:snapToGrid w:val="0"/>
        <w:spacing w:line="560" w:lineRule="exact"/>
        <w:ind w:firstLine="634" w:firstLineChars="200"/>
        <w:jc w:val="both"/>
        <w:rPr>
          <w:rFonts w:ascii="仿宋" w:hAnsi="仿宋" w:eastAsia="仿宋" w:cs="仿宋"/>
          <w:color w:val="000000"/>
          <w:sz w:val="32"/>
          <w:szCs w:val="32"/>
        </w:rPr>
      </w:pPr>
      <w:r>
        <w:rPr>
          <w:rFonts w:hint="eastAsia" w:ascii="仿宋" w:hAnsi="仿宋" w:eastAsia="仿宋" w:cs="仿宋"/>
          <w:b/>
          <w:bCs/>
          <w:color w:val="000000"/>
          <w:sz w:val="32"/>
          <w:szCs w:val="32"/>
        </w:rPr>
        <w:t>牵头部门：</w:t>
      </w:r>
      <w:r>
        <w:rPr>
          <w:rFonts w:hint="eastAsia" w:ascii="仿宋" w:hAnsi="仿宋" w:eastAsia="仿宋" w:cs="仿宋"/>
          <w:color w:val="000000"/>
          <w:sz w:val="32"/>
          <w:szCs w:val="32"/>
        </w:rPr>
        <w:t>区商务局、工信局、文体旅局</w:t>
      </w:r>
    </w:p>
    <w:p>
      <w:pPr>
        <w:pStyle w:val="18"/>
        <w:keepNext w:val="0"/>
        <w:keepLines w:val="0"/>
        <w:pageBreakBefore w:val="0"/>
        <w:widowControl/>
        <w:kinsoku/>
        <w:wordWrap/>
        <w:overflowPunct/>
        <w:topLinePunct w:val="0"/>
        <w:autoSpaceDE/>
        <w:autoSpaceDN/>
        <w:bidi w:val="0"/>
        <w:adjustRightInd w:val="0"/>
        <w:snapToGrid w:val="0"/>
        <w:spacing w:line="560" w:lineRule="exact"/>
        <w:ind w:firstLine="634" w:firstLineChars="200"/>
        <w:jc w:val="both"/>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责任部门：</w:t>
      </w:r>
      <w:r>
        <w:rPr>
          <w:rFonts w:hint="eastAsia" w:ascii="仿宋" w:hAnsi="仿宋" w:eastAsia="仿宋" w:cs="仿宋"/>
          <w:color w:val="000000"/>
          <w:sz w:val="32"/>
          <w:szCs w:val="32"/>
        </w:rPr>
        <w:t>区委宣传部、财政局、发改局、建设局、金融办</w:t>
      </w:r>
      <w:r>
        <w:rPr>
          <w:rFonts w:hint="eastAsia" w:ascii="仿宋" w:hAnsi="仿宋" w:eastAsia="仿宋" w:cs="仿宋"/>
          <w:color w:val="000000"/>
          <w:sz w:val="32"/>
          <w:szCs w:val="32"/>
          <w:lang w:eastAsia="zh-CN"/>
        </w:rPr>
        <w:t>等</w:t>
      </w:r>
    </w:p>
    <w:p>
      <w:pPr>
        <w:pStyle w:val="18"/>
        <w:keepNext w:val="0"/>
        <w:keepLines w:val="0"/>
        <w:pageBreakBefore w:val="0"/>
        <w:widowControl/>
        <w:kinsoku/>
        <w:wordWrap/>
        <w:overflowPunct/>
        <w:topLinePunct w:val="0"/>
        <w:autoSpaceDE/>
        <w:autoSpaceDN/>
        <w:bidi w:val="0"/>
        <w:adjustRightInd w:val="0"/>
        <w:snapToGrid w:val="0"/>
        <w:spacing w:line="560" w:lineRule="exact"/>
        <w:ind w:firstLine="634" w:firstLineChars="200"/>
        <w:jc w:val="both"/>
      </w:pPr>
      <w:r>
        <w:rPr>
          <w:rFonts w:hint="eastAsia" w:ascii="黑体" w:hAnsi="宋体" w:eastAsia="黑体" w:cs="黑体"/>
          <w:color w:val="000000"/>
          <w:sz w:val="32"/>
          <w:szCs w:val="32"/>
        </w:rPr>
        <w:t>四、优服务惠企业专项行动工作专班</w:t>
      </w:r>
    </w:p>
    <w:p>
      <w:pPr>
        <w:pStyle w:val="18"/>
        <w:keepNext w:val="0"/>
        <w:keepLines w:val="0"/>
        <w:pageBreakBefore w:val="0"/>
        <w:widowControl/>
        <w:kinsoku/>
        <w:wordWrap/>
        <w:overflowPunct/>
        <w:topLinePunct w:val="0"/>
        <w:autoSpaceDE/>
        <w:autoSpaceDN/>
        <w:bidi w:val="0"/>
        <w:adjustRightInd w:val="0"/>
        <w:snapToGrid w:val="0"/>
        <w:spacing w:line="560" w:lineRule="exact"/>
        <w:ind w:firstLine="634" w:firstLineChars="200"/>
        <w:jc w:val="both"/>
        <w:rPr>
          <w:rFonts w:hint="eastAsia"/>
        </w:rPr>
      </w:pPr>
      <w:r>
        <w:rPr>
          <w:rFonts w:hint="eastAsia" w:ascii="仿宋" w:hAnsi="仿宋" w:eastAsia="仿宋" w:cs="仿宋"/>
          <w:b/>
          <w:bCs/>
          <w:color w:val="000000"/>
          <w:sz w:val="32"/>
          <w:szCs w:val="32"/>
        </w:rPr>
        <w:t>牵头区领导：</w:t>
      </w:r>
      <w:r>
        <w:rPr>
          <w:rFonts w:hint="eastAsia" w:ascii="仿宋" w:hAnsi="仿宋" w:eastAsia="仿宋" w:cs="仿宋"/>
          <w:color w:val="000000"/>
          <w:sz w:val="32"/>
          <w:szCs w:val="32"/>
        </w:rPr>
        <w:t>任巍、余垂霄、林斌等同志按职责分工负责</w:t>
      </w:r>
    </w:p>
    <w:p>
      <w:pPr>
        <w:pStyle w:val="18"/>
        <w:keepNext w:val="0"/>
        <w:keepLines w:val="0"/>
        <w:pageBreakBefore w:val="0"/>
        <w:widowControl/>
        <w:kinsoku/>
        <w:wordWrap/>
        <w:overflowPunct/>
        <w:topLinePunct w:val="0"/>
        <w:autoSpaceDE/>
        <w:autoSpaceDN/>
        <w:bidi w:val="0"/>
        <w:adjustRightInd w:val="0"/>
        <w:snapToGrid w:val="0"/>
        <w:spacing w:line="560" w:lineRule="exact"/>
        <w:ind w:firstLine="634" w:firstLineChars="200"/>
        <w:jc w:val="both"/>
        <w:rPr>
          <w:rFonts w:ascii="仿宋" w:hAnsi="仿宋" w:eastAsia="仿宋" w:cs="仿宋"/>
          <w:color w:val="000000"/>
          <w:sz w:val="32"/>
          <w:szCs w:val="32"/>
        </w:rPr>
      </w:pPr>
      <w:r>
        <w:rPr>
          <w:rFonts w:hint="eastAsia" w:ascii="仿宋" w:hAnsi="仿宋" w:eastAsia="仿宋" w:cs="仿宋"/>
          <w:b/>
          <w:bCs/>
          <w:color w:val="000000"/>
          <w:sz w:val="32"/>
          <w:szCs w:val="32"/>
        </w:rPr>
        <w:t>牵头部门：</w:t>
      </w:r>
      <w:r>
        <w:rPr>
          <w:rFonts w:hint="eastAsia" w:ascii="仿宋" w:hAnsi="仿宋" w:eastAsia="仿宋" w:cs="仿宋"/>
          <w:color w:val="000000"/>
          <w:sz w:val="32"/>
          <w:szCs w:val="32"/>
        </w:rPr>
        <w:t>区税务局、</w:t>
      </w:r>
      <w:r>
        <w:rPr>
          <w:rFonts w:hint="eastAsia" w:ascii="仿宋" w:hAnsi="仿宋" w:eastAsia="仿宋" w:cs="仿宋"/>
          <w:color w:val="000000"/>
          <w:spacing w:val="-11"/>
          <w:sz w:val="32"/>
          <w:szCs w:val="32"/>
        </w:rPr>
        <w:t>金融办</w:t>
      </w:r>
      <w:r>
        <w:rPr>
          <w:rFonts w:hint="eastAsia" w:ascii="仿宋" w:hAnsi="仿宋" w:eastAsia="仿宋" w:cs="仿宋"/>
          <w:color w:val="000000"/>
          <w:sz w:val="32"/>
          <w:szCs w:val="32"/>
        </w:rPr>
        <w:t>、城乡建设局、人社局、行政服务中心管委会</w:t>
      </w:r>
    </w:p>
    <w:p>
      <w:pPr>
        <w:pStyle w:val="18"/>
        <w:keepNext w:val="0"/>
        <w:keepLines w:val="0"/>
        <w:pageBreakBefore w:val="0"/>
        <w:widowControl/>
        <w:kinsoku/>
        <w:wordWrap/>
        <w:overflowPunct/>
        <w:topLinePunct w:val="0"/>
        <w:autoSpaceDE/>
        <w:autoSpaceDN/>
        <w:bidi w:val="0"/>
        <w:adjustRightInd w:val="0"/>
        <w:snapToGrid w:val="0"/>
        <w:spacing w:line="560" w:lineRule="exact"/>
        <w:ind w:firstLine="634" w:firstLineChars="200"/>
        <w:jc w:val="both"/>
        <w:rPr>
          <w:rFonts w:hint="eastAsia" w:ascii="仿宋" w:hAnsi="仿宋" w:eastAsia="仿宋" w:cs="仿宋"/>
          <w:color w:val="000000"/>
          <w:sz w:val="32"/>
          <w:szCs w:val="32"/>
        </w:rPr>
      </w:pPr>
      <w:r>
        <w:rPr>
          <w:rFonts w:hint="eastAsia" w:ascii="仿宋" w:hAnsi="仿宋" w:eastAsia="仿宋" w:cs="仿宋"/>
          <w:b/>
          <w:bCs/>
          <w:color w:val="000000"/>
          <w:sz w:val="32"/>
          <w:szCs w:val="32"/>
        </w:rPr>
        <w:t>责任部门：</w:t>
      </w:r>
      <w:r>
        <w:rPr>
          <w:rFonts w:hint="eastAsia" w:ascii="仿宋" w:hAnsi="仿宋" w:eastAsia="仿宋" w:cs="仿宋"/>
          <w:color w:val="000000"/>
          <w:sz w:val="32"/>
          <w:szCs w:val="32"/>
        </w:rPr>
        <w:t>区财政局、工信局、商务局、国资中心、房管局、机关事务中心、司法局、市场监管局、发改局、贸促会、工业园区管委会，供电中心、自来水公司、各燃气企业，建新镇、盖山镇、城门镇</w:t>
      </w:r>
      <w:r>
        <w:rPr>
          <w:rFonts w:hint="eastAsia" w:ascii="仿宋" w:hAnsi="仿宋" w:eastAsia="仿宋" w:cs="仿宋"/>
          <w:color w:val="000000"/>
          <w:sz w:val="32"/>
          <w:szCs w:val="32"/>
          <w:lang w:eastAsia="zh-CN"/>
        </w:rPr>
        <w:t>等</w:t>
      </w:r>
    </w:p>
    <w:p>
      <w:pPr>
        <w:pStyle w:val="18"/>
        <w:keepNext w:val="0"/>
        <w:keepLines w:val="0"/>
        <w:pageBreakBefore w:val="0"/>
        <w:widowControl/>
        <w:kinsoku/>
        <w:wordWrap/>
        <w:overflowPunct/>
        <w:topLinePunct w:val="0"/>
        <w:autoSpaceDE/>
        <w:autoSpaceDN/>
        <w:bidi w:val="0"/>
        <w:adjustRightInd w:val="0"/>
        <w:snapToGrid w:val="0"/>
        <w:spacing w:line="560" w:lineRule="exact"/>
        <w:ind w:firstLine="634" w:firstLineChars="200"/>
        <w:jc w:val="both"/>
      </w:pPr>
      <w:r>
        <w:rPr>
          <w:rFonts w:hint="eastAsia" w:ascii="黑体" w:hAnsi="宋体" w:eastAsia="黑体" w:cs="黑体"/>
          <w:color w:val="000000"/>
          <w:sz w:val="32"/>
          <w:szCs w:val="32"/>
        </w:rPr>
        <w:t>五、保安全促稳定专项行动工作专班</w:t>
      </w:r>
    </w:p>
    <w:p>
      <w:pPr>
        <w:pStyle w:val="18"/>
        <w:keepNext w:val="0"/>
        <w:keepLines w:val="0"/>
        <w:pageBreakBefore w:val="0"/>
        <w:widowControl/>
        <w:kinsoku/>
        <w:wordWrap/>
        <w:overflowPunct/>
        <w:topLinePunct w:val="0"/>
        <w:autoSpaceDE/>
        <w:autoSpaceDN/>
        <w:bidi w:val="0"/>
        <w:adjustRightInd w:val="0"/>
        <w:snapToGrid w:val="0"/>
        <w:spacing w:line="560" w:lineRule="exact"/>
        <w:ind w:firstLine="634" w:firstLineChars="200"/>
        <w:jc w:val="both"/>
        <w:rPr>
          <w:rFonts w:hint="eastAsia" w:eastAsia="仿宋"/>
          <w:lang w:eastAsia="zh-CN"/>
        </w:rPr>
      </w:pPr>
      <w:r>
        <w:rPr>
          <w:rFonts w:hint="eastAsia" w:ascii="仿宋" w:hAnsi="仿宋" w:eastAsia="仿宋" w:cs="仿宋"/>
          <w:b/>
          <w:bCs/>
          <w:color w:val="000000"/>
          <w:sz w:val="32"/>
          <w:szCs w:val="32"/>
        </w:rPr>
        <w:t>牵头区领导：</w:t>
      </w:r>
      <w:r>
        <w:rPr>
          <w:rFonts w:hint="eastAsia" w:ascii="仿宋" w:hAnsi="仿宋" w:eastAsia="仿宋" w:cs="仿宋"/>
          <w:color w:val="000000"/>
          <w:sz w:val="32"/>
          <w:szCs w:val="32"/>
        </w:rPr>
        <w:t>任巍、余垂霄、赵旭宇、连锦、郑金保、林斌、谢能丰等同志按职责分工负责</w:t>
      </w:r>
    </w:p>
    <w:p>
      <w:pPr>
        <w:pStyle w:val="18"/>
        <w:keepNext w:val="0"/>
        <w:keepLines w:val="0"/>
        <w:pageBreakBefore w:val="0"/>
        <w:widowControl/>
        <w:kinsoku/>
        <w:wordWrap/>
        <w:overflowPunct/>
        <w:topLinePunct w:val="0"/>
        <w:autoSpaceDE/>
        <w:autoSpaceDN/>
        <w:bidi w:val="0"/>
        <w:adjustRightInd w:val="0"/>
        <w:snapToGrid w:val="0"/>
        <w:spacing w:line="560" w:lineRule="exact"/>
        <w:ind w:firstLine="634" w:firstLineChars="200"/>
        <w:jc w:val="both"/>
        <w:rPr>
          <w:rFonts w:ascii="仿宋" w:hAnsi="仿宋" w:eastAsia="仿宋" w:cs="仿宋"/>
          <w:b/>
          <w:bCs/>
          <w:color w:val="000000"/>
          <w:sz w:val="32"/>
          <w:szCs w:val="32"/>
        </w:rPr>
      </w:pPr>
      <w:r>
        <w:rPr>
          <w:rFonts w:hint="eastAsia" w:ascii="仿宋" w:hAnsi="仿宋" w:eastAsia="仿宋" w:cs="仿宋"/>
          <w:b/>
          <w:bCs/>
          <w:color w:val="000000"/>
          <w:sz w:val="32"/>
          <w:szCs w:val="32"/>
        </w:rPr>
        <w:t>牵头单位：</w:t>
      </w:r>
      <w:r>
        <w:rPr>
          <w:rFonts w:hint="eastAsia" w:ascii="仿宋" w:hAnsi="仿宋" w:eastAsia="仿宋" w:cs="仿宋"/>
          <w:color w:val="000000"/>
          <w:sz w:val="32"/>
          <w:szCs w:val="32"/>
          <w:lang w:eastAsia="zh-CN"/>
        </w:rPr>
        <w:t>区</w:t>
      </w:r>
      <w:r>
        <w:rPr>
          <w:rFonts w:hint="eastAsia" w:ascii="仿宋" w:hAnsi="仿宋" w:eastAsia="仿宋" w:cs="仿宋"/>
          <w:color w:val="000000"/>
          <w:spacing w:val="-11"/>
          <w:sz w:val="32"/>
          <w:szCs w:val="32"/>
        </w:rPr>
        <w:t>金融办、</w:t>
      </w:r>
      <w:r>
        <w:rPr>
          <w:rFonts w:hint="eastAsia" w:ascii="仿宋" w:hAnsi="仿宋" w:eastAsia="仿宋" w:cs="仿宋"/>
          <w:color w:val="000000"/>
          <w:sz w:val="32"/>
          <w:szCs w:val="32"/>
        </w:rPr>
        <w:t>房管局、商务局、民政局、应急管理局</w:t>
      </w:r>
    </w:p>
    <w:p>
      <w:pPr>
        <w:pStyle w:val="18"/>
        <w:keepNext w:val="0"/>
        <w:keepLines w:val="0"/>
        <w:pageBreakBefore w:val="0"/>
        <w:widowControl/>
        <w:kinsoku/>
        <w:wordWrap/>
        <w:overflowPunct/>
        <w:topLinePunct w:val="0"/>
        <w:autoSpaceDE/>
        <w:autoSpaceDN/>
        <w:bidi w:val="0"/>
        <w:adjustRightInd w:val="0"/>
        <w:snapToGrid w:val="0"/>
        <w:spacing w:line="560" w:lineRule="exact"/>
        <w:ind w:firstLine="634" w:firstLineChars="200"/>
        <w:jc w:val="both"/>
        <w:rPr>
          <w:rFonts w:ascii="仿宋" w:hAnsi="仿宋" w:eastAsia="仿宋" w:cs="仿宋"/>
          <w:color w:val="000000"/>
          <w:sz w:val="32"/>
          <w:szCs w:val="32"/>
        </w:rPr>
      </w:pPr>
      <w:r>
        <w:rPr>
          <w:rFonts w:hint="eastAsia" w:ascii="仿宋" w:hAnsi="仿宋" w:eastAsia="仿宋" w:cs="仿宋"/>
          <w:b/>
          <w:bCs/>
          <w:color w:val="000000"/>
          <w:sz w:val="32"/>
          <w:szCs w:val="32"/>
        </w:rPr>
        <w:t>责任部门：</w:t>
      </w:r>
      <w:r>
        <w:rPr>
          <w:rFonts w:hint="eastAsia" w:ascii="仿宋" w:hAnsi="仿宋" w:eastAsia="仿宋" w:cs="仿宋"/>
          <w:color w:val="000000"/>
          <w:sz w:val="32"/>
          <w:szCs w:val="32"/>
        </w:rPr>
        <w:t>区资规局、发改局、市场监管局、医保局、教育局、公安分局、信访局</w:t>
      </w:r>
      <w:r>
        <w:rPr>
          <w:rFonts w:hint="eastAsia" w:ascii="仿宋" w:hAnsi="仿宋" w:eastAsia="仿宋" w:cs="仿宋"/>
          <w:color w:val="000000"/>
          <w:sz w:val="32"/>
          <w:szCs w:val="32"/>
          <w:lang w:eastAsia="zh-CN"/>
        </w:rPr>
        <w:t>等</w:t>
      </w:r>
    </w:p>
    <w:p>
      <w:pPr>
        <w:pStyle w:val="18"/>
        <w:keepNext w:val="0"/>
        <w:keepLines w:val="0"/>
        <w:pageBreakBefore w:val="0"/>
        <w:widowControl/>
        <w:kinsoku/>
        <w:wordWrap/>
        <w:overflowPunct/>
        <w:topLinePunct w:val="0"/>
        <w:autoSpaceDE/>
        <w:autoSpaceDN/>
        <w:bidi w:val="0"/>
        <w:spacing w:line="560" w:lineRule="exact"/>
        <w:ind w:firstLine="634"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工作专班自行动方案印发之日起开始统筹推进各项任务目标落实，2022年12月31日后不再保留。</w:t>
      </w:r>
    </w:p>
    <w:p>
      <w:pPr>
        <w:pStyle w:val="18"/>
        <w:keepNext w:val="0"/>
        <w:keepLines w:val="0"/>
        <w:pageBreakBefore w:val="0"/>
        <w:widowControl/>
        <w:kinsoku/>
        <w:wordWrap/>
        <w:overflowPunct/>
        <w:topLinePunct w:val="0"/>
        <w:autoSpaceDE/>
        <w:autoSpaceDN/>
        <w:bidi w:val="0"/>
        <w:spacing w:line="560" w:lineRule="exact"/>
        <w:ind w:firstLine="634" w:firstLineChars="200"/>
        <w:jc w:val="both"/>
        <w:rPr>
          <w:rFonts w:hint="default" w:ascii="仿宋" w:hAnsi="仿宋" w:eastAsia="仿宋" w:cs="仿宋"/>
          <w:color w:val="000000"/>
          <w:sz w:val="32"/>
          <w:szCs w:val="32"/>
        </w:rPr>
      </w:pPr>
    </w:p>
    <w:p>
      <w:pPr>
        <w:pStyle w:val="14"/>
        <w:keepNext w:val="0"/>
        <w:keepLines w:val="0"/>
        <w:pageBreakBefore w:val="0"/>
        <w:kinsoku/>
        <w:wordWrap/>
        <w:overflowPunct/>
        <w:topLinePunct w:val="0"/>
        <w:autoSpaceDE/>
        <w:autoSpaceDN/>
        <w:bidi w:val="0"/>
        <w:adjustRightInd/>
        <w:snapToGrid/>
        <w:spacing w:line="560" w:lineRule="exact"/>
        <w:rPr>
          <w:rFonts w:hint="default" w:ascii="仿宋_GB2312" w:hAnsi="仿宋_GB2312" w:eastAsia="仿宋_GB2312" w:cs="仿宋_GB2312"/>
          <w:sz w:val="36"/>
          <w:szCs w:val="36"/>
          <w:highlight w:val="none"/>
          <w:u w:val="none" w:color="auto"/>
        </w:rPr>
      </w:pPr>
    </w:p>
    <w:p>
      <w:pPr>
        <w:pStyle w:val="14"/>
        <w:keepNext w:val="0"/>
        <w:keepLines w:val="0"/>
        <w:pageBreakBefore w:val="0"/>
        <w:kinsoku/>
        <w:wordWrap/>
        <w:overflowPunct/>
        <w:topLinePunct w:val="0"/>
        <w:autoSpaceDE/>
        <w:autoSpaceDN/>
        <w:bidi w:val="0"/>
        <w:adjustRightInd/>
        <w:snapToGrid/>
        <w:spacing w:line="560" w:lineRule="exact"/>
        <w:rPr>
          <w:rFonts w:hint="default" w:ascii="仿宋_GB2312" w:hAnsi="仿宋_GB2312" w:eastAsia="仿宋_GB2312" w:cs="仿宋_GB2312"/>
          <w:sz w:val="36"/>
          <w:szCs w:val="36"/>
          <w:highlight w:val="none"/>
          <w:u w:val="none" w:color="auto"/>
        </w:rPr>
      </w:pPr>
    </w:p>
    <w:p>
      <w:pPr>
        <w:pStyle w:val="14"/>
        <w:keepNext w:val="0"/>
        <w:keepLines w:val="0"/>
        <w:pageBreakBefore w:val="0"/>
        <w:kinsoku/>
        <w:wordWrap/>
        <w:overflowPunct/>
        <w:topLinePunct w:val="0"/>
        <w:autoSpaceDE/>
        <w:autoSpaceDN/>
        <w:bidi w:val="0"/>
        <w:adjustRightInd/>
        <w:snapToGrid/>
        <w:spacing w:line="560" w:lineRule="exact"/>
        <w:rPr>
          <w:rFonts w:hint="default" w:ascii="仿宋_GB2312" w:hAnsi="仿宋_GB2312" w:eastAsia="仿宋_GB2312" w:cs="仿宋_GB2312"/>
          <w:sz w:val="36"/>
          <w:szCs w:val="36"/>
          <w:highlight w:val="none"/>
          <w:u w:val="none" w:color="auto"/>
        </w:rPr>
      </w:pPr>
    </w:p>
    <w:p>
      <w:pPr>
        <w:pStyle w:val="14"/>
        <w:keepNext w:val="0"/>
        <w:keepLines w:val="0"/>
        <w:pageBreakBefore w:val="0"/>
        <w:kinsoku/>
        <w:wordWrap/>
        <w:overflowPunct/>
        <w:topLinePunct w:val="0"/>
        <w:autoSpaceDE/>
        <w:autoSpaceDN/>
        <w:bidi w:val="0"/>
        <w:adjustRightInd/>
        <w:snapToGrid/>
        <w:spacing w:line="560" w:lineRule="exact"/>
        <w:rPr>
          <w:rFonts w:hint="default" w:ascii="仿宋_GB2312" w:hAnsi="仿宋_GB2312" w:eastAsia="仿宋_GB2312" w:cs="仿宋_GB2312"/>
          <w:sz w:val="36"/>
          <w:szCs w:val="36"/>
          <w:highlight w:val="none"/>
          <w:u w:val="none" w:color="auto"/>
        </w:rPr>
      </w:pPr>
    </w:p>
    <w:p>
      <w:pPr>
        <w:pStyle w:val="14"/>
        <w:keepNext w:val="0"/>
        <w:keepLines w:val="0"/>
        <w:pageBreakBefore w:val="0"/>
        <w:kinsoku/>
        <w:wordWrap/>
        <w:overflowPunct/>
        <w:topLinePunct w:val="0"/>
        <w:autoSpaceDE/>
        <w:autoSpaceDN/>
        <w:bidi w:val="0"/>
        <w:adjustRightInd/>
        <w:snapToGrid/>
        <w:spacing w:line="560" w:lineRule="exact"/>
        <w:rPr>
          <w:rFonts w:hint="default" w:ascii="仿宋_GB2312" w:hAnsi="仿宋_GB2312" w:eastAsia="仿宋_GB2312" w:cs="仿宋_GB2312"/>
          <w:sz w:val="36"/>
          <w:szCs w:val="36"/>
          <w:highlight w:val="none"/>
          <w:u w:val="none" w:color="auto"/>
        </w:rPr>
      </w:pPr>
    </w:p>
    <w:p>
      <w:pPr>
        <w:pStyle w:val="14"/>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6"/>
          <w:szCs w:val="36"/>
          <w:highlight w:val="none"/>
          <w:u w:val="none" w:color="auto"/>
        </w:rPr>
      </w:pPr>
    </w:p>
    <w:p>
      <w:pPr>
        <w:keepNext w:val="0"/>
        <w:keepLines w:val="0"/>
        <w:pageBreakBefore w:val="0"/>
        <w:widowControl w:val="0"/>
        <w:pBdr>
          <w:top w:val="single" w:color="auto" w:sz="4"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560" w:lineRule="exact"/>
        <w:textAlignment w:val="bottom"/>
        <w:outlineLvl w:val="9"/>
        <w:rPr>
          <w:rFonts w:hint="eastAsia" w:eastAsia="仿宋_GB2312"/>
          <w:lang w:val="en-US" w:eastAsia="zh-CN"/>
        </w:rPr>
      </w:pPr>
      <w:r>
        <w:rPr>
          <w:rFonts w:hint="eastAsia" w:ascii="仿宋" w:hAnsi="仿宋" w:eastAsia="仿宋" w:cs="仿宋"/>
          <w:sz w:val="30"/>
        </w:rPr>
        <w:t>　</w:t>
      </w:r>
      <w:r>
        <w:rPr>
          <w:rFonts w:hint="eastAsia" w:ascii="仿宋" w:hAnsi="仿宋" w:eastAsia="仿宋" w:cs="仿宋"/>
          <w:sz w:val="28"/>
        </w:rPr>
        <w:t>福州市仓山区人民政府办公室</w:t>
      </w:r>
      <w:r>
        <w:rPr>
          <w:rFonts w:hint="eastAsia" w:eastAsia="仿宋_GB2312"/>
          <w:sz w:val="28"/>
        </w:rPr>
        <w:t xml:space="preserve">            </w:t>
      </w:r>
      <w:r>
        <w:rPr>
          <w:rFonts w:hint="eastAsia"/>
          <w:sz w:val="28"/>
          <w:lang w:val="en-US" w:eastAsia="zh-CN"/>
        </w:rPr>
        <w:t xml:space="preserve"> </w:t>
      </w:r>
      <w:r>
        <w:rPr>
          <w:rFonts w:hint="eastAsia" w:ascii="仿宋" w:hAnsi="仿宋" w:eastAsia="仿宋" w:cs="仿宋"/>
          <w:sz w:val="28"/>
          <w:lang w:val="en-US" w:eastAsia="zh-CN"/>
        </w:rPr>
        <w:t xml:space="preserve"> </w:t>
      </w:r>
      <w:r>
        <w:rPr>
          <w:rFonts w:hint="eastAsia" w:ascii="仿宋" w:hAnsi="仿宋" w:eastAsia="仿宋" w:cs="仿宋"/>
          <w:color w:val="000000"/>
          <w:spacing w:val="0"/>
          <w:sz w:val="28"/>
          <w:szCs w:val="28"/>
        </w:rPr>
        <w:t>20</w:t>
      </w:r>
      <w:r>
        <w:rPr>
          <w:rFonts w:hint="eastAsia" w:ascii="仿宋" w:hAnsi="仿宋" w:eastAsia="仿宋" w:cs="仿宋"/>
          <w:color w:val="000000"/>
          <w:spacing w:val="0"/>
          <w:sz w:val="28"/>
          <w:szCs w:val="28"/>
          <w:lang w:val="en-US" w:eastAsia="zh-CN"/>
        </w:rPr>
        <w:t>22</w:t>
      </w:r>
      <w:r>
        <w:rPr>
          <w:rFonts w:hint="eastAsia" w:ascii="仿宋" w:hAnsi="仿宋" w:eastAsia="仿宋" w:cs="仿宋"/>
          <w:color w:val="000000"/>
          <w:spacing w:val="0"/>
          <w:sz w:val="28"/>
          <w:szCs w:val="28"/>
        </w:rPr>
        <w:t>年</w:t>
      </w:r>
      <w:r>
        <w:rPr>
          <w:rFonts w:hint="eastAsia" w:ascii="仿宋" w:hAnsi="仿宋" w:eastAsia="仿宋" w:cs="仿宋"/>
          <w:color w:val="000000"/>
          <w:spacing w:val="0"/>
          <w:sz w:val="28"/>
          <w:szCs w:val="28"/>
          <w:lang w:val="en-US" w:eastAsia="zh-CN"/>
        </w:rPr>
        <w:t>11</w:t>
      </w:r>
      <w:r>
        <w:rPr>
          <w:rFonts w:hint="eastAsia" w:ascii="仿宋" w:hAnsi="仿宋" w:eastAsia="仿宋" w:cs="仿宋"/>
          <w:color w:val="000000"/>
          <w:spacing w:val="0"/>
          <w:sz w:val="28"/>
          <w:szCs w:val="28"/>
        </w:rPr>
        <w:t>月</w:t>
      </w:r>
      <w:r>
        <w:rPr>
          <w:rFonts w:hint="eastAsia" w:ascii="仿宋" w:hAnsi="仿宋" w:eastAsia="仿宋" w:cs="仿宋"/>
          <w:color w:val="000000"/>
          <w:spacing w:val="0"/>
          <w:sz w:val="28"/>
          <w:szCs w:val="28"/>
          <w:lang w:val="en-US" w:eastAsia="zh-CN"/>
        </w:rPr>
        <w:t>19</w:t>
      </w:r>
      <w:r>
        <w:rPr>
          <w:rFonts w:hint="eastAsia" w:ascii="仿宋" w:hAnsi="仿宋" w:eastAsia="仿宋" w:cs="仿宋"/>
          <w:color w:val="000000"/>
          <w:spacing w:val="0"/>
          <w:sz w:val="28"/>
          <w:szCs w:val="28"/>
        </w:rPr>
        <w:t>日印</w:t>
      </w:r>
      <w:r>
        <w:rPr>
          <w:rFonts w:hint="eastAsia" w:ascii="仿宋" w:hAnsi="仿宋" w:eastAsia="仿宋" w:cs="仿宋"/>
          <w:sz w:val="28"/>
          <w:szCs w:val="28"/>
        </w:rPr>
        <w:t>发</w:t>
      </w:r>
      <w:r>
        <w:rPr>
          <w:rFonts w:hint="eastAsia" w:eastAsia="仿宋_GB2312"/>
          <w:sz w:val="28"/>
          <w:szCs w:val="28"/>
        </w:rPr>
        <w:t>　</w:t>
      </w:r>
    </w:p>
    <w:sectPr>
      <w:footerReference r:id="rId5" w:type="default"/>
      <w:footerReference r:id="rId6" w:type="even"/>
      <w:pgSz w:w="11906" w:h="16838"/>
      <w:pgMar w:top="1587" w:right="1417" w:bottom="1417" w:left="1587" w:header="1134" w:footer="1134" w:gutter="0"/>
      <w:paperSrc/>
      <w:pgBorders>
        <w:top w:val="none" w:sz="0" w:space="0"/>
        <w:left w:val="none" w:sz="0" w:space="0"/>
        <w:bottom w:val="none" w:sz="0" w:space="0"/>
        <w:right w:val="none" w:sz="0" w:space="0"/>
      </w:pgBorders>
      <w:cols w:space="720" w:num="1"/>
      <w:docGrid w:type="linesAndChars" w:linePitch="579" w:charSpace="20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
    <w:altName w:val="DejaVu Math TeX Gyre"/>
    <w:panose1 w:val="00000000000000000000"/>
    <w:charset w:val="00"/>
    <w:family w:val="auto"/>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方正仿宋_GBK">
    <w:altName w:val="微软雅黑"/>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ordWrap w:val="0"/>
      <w:ind w:right="11"/>
      <w:jc w:val="right"/>
      <w:rPr>
        <w:rFonts w:hint="eastAsia" w:ascii="楷体_GB2312" w:eastAsia="楷体_GB2312"/>
        <w:sz w:val="28"/>
      </w:rPr>
    </w:pPr>
    <w:r>
      <w:rPr>
        <w:rStyle w:val="25"/>
        <w:rFonts w:hint="eastAsia" w:ascii="楷体_GB2312" w:eastAsia="楷体_GB2312"/>
        <w:sz w:val="28"/>
      </w:rPr>
      <w:t>—</w:t>
    </w:r>
    <w:r>
      <w:rPr>
        <w:rStyle w:val="25"/>
        <w:rFonts w:hint="eastAsia" w:ascii="楷体_GB2312" w:eastAsia="楷体_GB2312"/>
        <w:sz w:val="28"/>
        <w:lang w:val="en-US" w:eastAsia="zh-CN"/>
      </w:rPr>
      <w:t xml:space="preserve"> </w:t>
    </w:r>
    <w:r>
      <w:rPr>
        <w:rFonts w:hint="eastAsia" w:ascii="宋体" w:hAnsi="宋体" w:eastAsia="宋体"/>
        <w:sz w:val="28"/>
      </w:rPr>
      <w:fldChar w:fldCharType="begin"/>
    </w:r>
    <w:r>
      <w:rPr>
        <w:rStyle w:val="25"/>
        <w:rFonts w:hint="eastAsia" w:ascii="宋体" w:hAnsi="宋体" w:eastAsia="宋体"/>
        <w:sz w:val="28"/>
      </w:rPr>
      <w:instrText xml:space="preserve"> PAGE </w:instrText>
    </w:r>
    <w:r>
      <w:rPr>
        <w:rFonts w:hint="eastAsia" w:ascii="宋体" w:hAnsi="宋体" w:eastAsia="宋体"/>
        <w:sz w:val="28"/>
      </w:rPr>
      <w:fldChar w:fldCharType="separate"/>
    </w:r>
    <w:r>
      <w:rPr>
        <w:rStyle w:val="25"/>
        <w:rFonts w:hint="eastAsia" w:ascii="宋体" w:hAnsi="宋体" w:eastAsia="宋体"/>
        <w:sz w:val="28"/>
      </w:rPr>
      <w:t>1</w:t>
    </w:r>
    <w:r>
      <w:rPr>
        <w:rFonts w:hint="eastAsia" w:ascii="宋体" w:hAnsi="宋体" w:eastAsia="宋体"/>
        <w:sz w:val="28"/>
      </w:rPr>
      <w:fldChar w:fldCharType="end"/>
    </w:r>
    <w:r>
      <w:rPr>
        <w:rFonts w:hint="eastAsia" w:ascii="宋体" w:hAnsi="宋体" w:eastAsia="宋体"/>
        <w:sz w:val="28"/>
        <w:lang w:val="en-US" w:eastAsia="zh-CN"/>
      </w:rPr>
      <w:t xml:space="preserve"> </w:t>
    </w:r>
    <w:r>
      <w:rPr>
        <w:rStyle w:val="25"/>
        <w:rFonts w:hint="eastAsia" w:ascii="楷体_GB2312" w:eastAsia="楷体_GB2312"/>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firstLineChars="100"/>
      <w:rPr>
        <w:rFonts w:hint="eastAsia" w:ascii="楷体_GB2312" w:eastAsia="楷体_GB2312"/>
        <w:sz w:val="28"/>
      </w:rPr>
    </w:pPr>
    <w:r>
      <w:rPr>
        <w:rStyle w:val="25"/>
        <w:rFonts w:hint="eastAsia" w:ascii="楷体_GB2312" w:eastAsia="楷体_GB2312"/>
        <w:sz w:val="28"/>
      </w:rPr>
      <w:t>—</w:t>
    </w:r>
    <w:r>
      <w:rPr>
        <w:rStyle w:val="25"/>
        <w:rFonts w:hint="eastAsia" w:ascii="楷体_GB2312" w:eastAsia="楷体_GB2312"/>
        <w:sz w:val="28"/>
        <w:lang w:val="en-US" w:eastAsia="zh-CN"/>
      </w:rPr>
      <w:t xml:space="preserve"> </w:t>
    </w:r>
    <w:r>
      <w:rPr>
        <w:rFonts w:hint="eastAsia" w:ascii="宋体" w:hAnsi="宋体" w:eastAsia="宋体"/>
        <w:sz w:val="28"/>
      </w:rPr>
      <w:fldChar w:fldCharType="begin"/>
    </w:r>
    <w:r>
      <w:rPr>
        <w:rStyle w:val="25"/>
        <w:rFonts w:hint="eastAsia" w:ascii="宋体" w:hAnsi="宋体" w:eastAsia="宋体"/>
        <w:sz w:val="28"/>
      </w:rPr>
      <w:instrText xml:space="preserve"> PAGE </w:instrText>
    </w:r>
    <w:r>
      <w:rPr>
        <w:rFonts w:hint="eastAsia" w:ascii="宋体" w:hAnsi="宋体" w:eastAsia="宋体"/>
        <w:sz w:val="28"/>
      </w:rPr>
      <w:fldChar w:fldCharType="separate"/>
    </w:r>
    <w:r>
      <w:rPr>
        <w:rStyle w:val="25"/>
        <w:rFonts w:hint="eastAsia" w:ascii="宋体" w:hAnsi="宋体" w:eastAsia="宋体"/>
        <w:sz w:val="28"/>
      </w:rPr>
      <w:t>1</w:t>
    </w:r>
    <w:r>
      <w:rPr>
        <w:rFonts w:hint="eastAsia" w:ascii="宋体" w:hAnsi="宋体" w:eastAsia="宋体"/>
        <w:sz w:val="28"/>
      </w:rPr>
      <w:fldChar w:fldCharType="end"/>
    </w:r>
    <w:r>
      <w:rPr>
        <w:rFonts w:hint="eastAsia" w:ascii="宋体" w:hAnsi="宋体" w:eastAsia="宋体"/>
        <w:sz w:val="28"/>
        <w:lang w:val="en-US" w:eastAsia="zh-CN"/>
      </w:rPr>
      <w:t xml:space="preserve"> </w:t>
    </w:r>
    <w:r>
      <w:rPr>
        <w:rStyle w:val="25"/>
        <w:rFonts w:hint="eastAsia" w:ascii="楷体_GB2312" w:eastAsia="楷体_GB2312"/>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00FA02"/>
    <w:multiLevelType w:val="singleLevel"/>
    <w:tmpl w:val="5C00FA02"/>
    <w:lvl w:ilvl="0" w:tentative="0">
      <w:start w:val="1"/>
      <w:numFmt w:val="decimal"/>
      <w:pStyle w:val="17"/>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360"/>
  <w:evenAndOddHeaders w:val="1"/>
  <w:drawingGridHorizontalSpacing w:val="159"/>
  <w:drawingGridVerticalSpacing w:val="579"/>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 w:name="OpenTime" w:val="2018-11-30 09:28:01"/>
    <w:docVar w:name="SessionId" w:val="LtpaToken=AAECAzVDMDA4RjBDNUMwMTc5NkNDTj1VMDA4MzE4L089RlVaSE9VJ7DfqsI19d6oCPzC3LiSS1s//0Q="/>
  </w:docVars>
  <w:rsids>
    <w:rsidRoot w:val="00172A27"/>
    <w:rsid w:val="00E0728D"/>
    <w:rsid w:val="01040D09"/>
    <w:rsid w:val="010D0F28"/>
    <w:rsid w:val="016A3F31"/>
    <w:rsid w:val="01984ABA"/>
    <w:rsid w:val="01B007F5"/>
    <w:rsid w:val="01BB3E9E"/>
    <w:rsid w:val="01E2098D"/>
    <w:rsid w:val="01E45654"/>
    <w:rsid w:val="02BA31F8"/>
    <w:rsid w:val="02C33A84"/>
    <w:rsid w:val="02DE6C18"/>
    <w:rsid w:val="03084054"/>
    <w:rsid w:val="034E1EF8"/>
    <w:rsid w:val="03940647"/>
    <w:rsid w:val="03BA3D29"/>
    <w:rsid w:val="04217044"/>
    <w:rsid w:val="04545378"/>
    <w:rsid w:val="046B43D7"/>
    <w:rsid w:val="049A1777"/>
    <w:rsid w:val="04B078A1"/>
    <w:rsid w:val="04B61268"/>
    <w:rsid w:val="04E24263"/>
    <w:rsid w:val="051063DD"/>
    <w:rsid w:val="052374FF"/>
    <w:rsid w:val="05384620"/>
    <w:rsid w:val="054C1402"/>
    <w:rsid w:val="055620F2"/>
    <w:rsid w:val="05873A29"/>
    <w:rsid w:val="05C45B73"/>
    <w:rsid w:val="05DA5D97"/>
    <w:rsid w:val="064519A5"/>
    <w:rsid w:val="068B0128"/>
    <w:rsid w:val="06E93FE6"/>
    <w:rsid w:val="06EA2F85"/>
    <w:rsid w:val="07152F8B"/>
    <w:rsid w:val="071B0B6D"/>
    <w:rsid w:val="075A462B"/>
    <w:rsid w:val="07F4E070"/>
    <w:rsid w:val="08330D0A"/>
    <w:rsid w:val="086724C2"/>
    <w:rsid w:val="091B0216"/>
    <w:rsid w:val="09273ADC"/>
    <w:rsid w:val="09674DCC"/>
    <w:rsid w:val="09A41F62"/>
    <w:rsid w:val="0A0D485D"/>
    <w:rsid w:val="0A5A5AF2"/>
    <w:rsid w:val="0AFD2AE0"/>
    <w:rsid w:val="0B0B3C91"/>
    <w:rsid w:val="0B0C723E"/>
    <w:rsid w:val="0B0E352A"/>
    <w:rsid w:val="0BFD341B"/>
    <w:rsid w:val="0C510424"/>
    <w:rsid w:val="0C777639"/>
    <w:rsid w:val="0C862CD1"/>
    <w:rsid w:val="0CAC5C59"/>
    <w:rsid w:val="0CBDF84E"/>
    <w:rsid w:val="0CC22BA2"/>
    <w:rsid w:val="0CEA77F1"/>
    <w:rsid w:val="0D8D29CB"/>
    <w:rsid w:val="0D9F25BE"/>
    <w:rsid w:val="0E4C378B"/>
    <w:rsid w:val="0E637F67"/>
    <w:rsid w:val="0E9628F8"/>
    <w:rsid w:val="0EB8509C"/>
    <w:rsid w:val="0EF944A6"/>
    <w:rsid w:val="0F051EE2"/>
    <w:rsid w:val="0F317872"/>
    <w:rsid w:val="0F651E5A"/>
    <w:rsid w:val="0F804DD2"/>
    <w:rsid w:val="0FA6185B"/>
    <w:rsid w:val="0FC42FC7"/>
    <w:rsid w:val="0FDC19E8"/>
    <w:rsid w:val="0FFFFC2E"/>
    <w:rsid w:val="1013749E"/>
    <w:rsid w:val="11304539"/>
    <w:rsid w:val="11C87B36"/>
    <w:rsid w:val="12057B5B"/>
    <w:rsid w:val="123E72AF"/>
    <w:rsid w:val="1278772F"/>
    <w:rsid w:val="129F684C"/>
    <w:rsid w:val="12C40996"/>
    <w:rsid w:val="12E83BD5"/>
    <w:rsid w:val="12EB6051"/>
    <w:rsid w:val="12FE4627"/>
    <w:rsid w:val="133045C4"/>
    <w:rsid w:val="13A808EE"/>
    <w:rsid w:val="142F4FA1"/>
    <w:rsid w:val="14373EAD"/>
    <w:rsid w:val="144E42E1"/>
    <w:rsid w:val="147E09E6"/>
    <w:rsid w:val="14AF2C1F"/>
    <w:rsid w:val="15C68A93"/>
    <w:rsid w:val="15D9152B"/>
    <w:rsid w:val="15E03B5F"/>
    <w:rsid w:val="15F77157"/>
    <w:rsid w:val="164D4811"/>
    <w:rsid w:val="16A10452"/>
    <w:rsid w:val="16D9B6B9"/>
    <w:rsid w:val="16E42F30"/>
    <w:rsid w:val="16F70D8A"/>
    <w:rsid w:val="16FC0CE2"/>
    <w:rsid w:val="17184A43"/>
    <w:rsid w:val="17FF040E"/>
    <w:rsid w:val="18023AC6"/>
    <w:rsid w:val="1823398B"/>
    <w:rsid w:val="187979C2"/>
    <w:rsid w:val="189654BD"/>
    <w:rsid w:val="189A59F7"/>
    <w:rsid w:val="189C5691"/>
    <w:rsid w:val="192955F2"/>
    <w:rsid w:val="1A1127CF"/>
    <w:rsid w:val="1A1E6AA3"/>
    <w:rsid w:val="1B3265CF"/>
    <w:rsid w:val="1B6023DE"/>
    <w:rsid w:val="1BB52107"/>
    <w:rsid w:val="1BE4FA07"/>
    <w:rsid w:val="1BFB0E82"/>
    <w:rsid w:val="1CFFD869"/>
    <w:rsid w:val="1D1413E7"/>
    <w:rsid w:val="1D65594B"/>
    <w:rsid w:val="1D977789"/>
    <w:rsid w:val="1DB55717"/>
    <w:rsid w:val="1EC42E80"/>
    <w:rsid w:val="1EECD645"/>
    <w:rsid w:val="1EFF1E8B"/>
    <w:rsid w:val="1EFF5650"/>
    <w:rsid w:val="1F2AFB30"/>
    <w:rsid w:val="1F2B3334"/>
    <w:rsid w:val="1F7600E2"/>
    <w:rsid w:val="1FC9173D"/>
    <w:rsid w:val="1FDF04E9"/>
    <w:rsid w:val="20760860"/>
    <w:rsid w:val="20E857B5"/>
    <w:rsid w:val="214B3916"/>
    <w:rsid w:val="21886A28"/>
    <w:rsid w:val="219E3E86"/>
    <w:rsid w:val="21A674B0"/>
    <w:rsid w:val="21FD92E8"/>
    <w:rsid w:val="222F56EC"/>
    <w:rsid w:val="2259755F"/>
    <w:rsid w:val="22D420B6"/>
    <w:rsid w:val="22D5276D"/>
    <w:rsid w:val="22ED76C5"/>
    <w:rsid w:val="233A4B22"/>
    <w:rsid w:val="236276C9"/>
    <w:rsid w:val="236D0130"/>
    <w:rsid w:val="23863226"/>
    <w:rsid w:val="23F56408"/>
    <w:rsid w:val="23FF1FCC"/>
    <w:rsid w:val="24545FF9"/>
    <w:rsid w:val="25187D7D"/>
    <w:rsid w:val="261C3FA6"/>
    <w:rsid w:val="26A56407"/>
    <w:rsid w:val="275C40F8"/>
    <w:rsid w:val="27A809BA"/>
    <w:rsid w:val="27FFF8A7"/>
    <w:rsid w:val="28573365"/>
    <w:rsid w:val="28834592"/>
    <w:rsid w:val="28887554"/>
    <w:rsid w:val="28A8000C"/>
    <w:rsid w:val="28B37BDE"/>
    <w:rsid w:val="28B7413F"/>
    <w:rsid w:val="28D440F3"/>
    <w:rsid w:val="28F247ED"/>
    <w:rsid w:val="28F63B09"/>
    <w:rsid w:val="28F75187"/>
    <w:rsid w:val="294259F8"/>
    <w:rsid w:val="294F1D03"/>
    <w:rsid w:val="296E6E87"/>
    <w:rsid w:val="299A57FD"/>
    <w:rsid w:val="29A976AA"/>
    <w:rsid w:val="2A221963"/>
    <w:rsid w:val="2A2C0E6A"/>
    <w:rsid w:val="2A7A6A37"/>
    <w:rsid w:val="2B1614B6"/>
    <w:rsid w:val="2BFC3088"/>
    <w:rsid w:val="2C292A1A"/>
    <w:rsid w:val="2C4A2521"/>
    <w:rsid w:val="2C632266"/>
    <w:rsid w:val="2D00482C"/>
    <w:rsid w:val="2D2D4A71"/>
    <w:rsid w:val="2D4B677B"/>
    <w:rsid w:val="2DAB78F1"/>
    <w:rsid w:val="2DD90D44"/>
    <w:rsid w:val="2E0F0B8D"/>
    <w:rsid w:val="2E6259C8"/>
    <w:rsid w:val="2EEEBE29"/>
    <w:rsid w:val="2F112244"/>
    <w:rsid w:val="2F57D3D2"/>
    <w:rsid w:val="3067557A"/>
    <w:rsid w:val="30734A54"/>
    <w:rsid w:val="308E3069"/>
    <w:rsid w:val="30A77050"/>
    <w:rsid w:val="30BC001C"/>
    <w:rsid w:val="315F2720"/>
    <w:rsid w:val="31637AAE"/>
    <w:rsid w:val="31800BAB"/>
    <w:rsid w:val="318E2A0D"/>
    <w:rsid w:val="31E46C84"/>
    <w:rsid w:val="32696B97"/>
    <w:rsid w:val="333F099B"/>
    <w:rsid w:val="335FD7DF"/>
    <w:rsid w:val="336F2348"/>
    <w:rsid w:val="338571DE"/>
    <w:rsid w:val="33C66AFB"/>
    <w:rsid w:val="344807C2"/>
    <w:rsid w:val="34D617D2"/>
    <w:rsid w:val="352C77EB"/>
    <w:rsid w:val="35A94AAB"/>
    <w:rsid w:val="36146745"/>
    <w:rsid w:val="3677113B"/>
    <w:rsid w:val="36A4081B"/>
    <w:rsid w:val="37405FAA"/>
    <w:rsid w:val="378D7FF5"/>
    <w:rsid w:val="379FDB70"/>
    <w:rsid w:val="37A26B85"/>
    <w:rsid w:val="37EC0725"/>
    <w:rsid w:val="37F022FB"/>
    <w:rsid w:val="37F176D0"/>
    <w:rsid w:val="38235A98"/>
    <w:rsid w:val="38E71911"/>
    <w:rsid w:val="39045AAA"/>
    <w:rsid w:val="39452A10"/>
    <w:rsid w:val="39DA7F1F"/>
    <w:rsid w:val="3A334B65"/>
    <w:rsid w:val="3A864E3C"/>
    <w:rsid w:val="3A933401"/>
    <w:rsid w:val="3AC66C9A"/>
    <w:rsid w:val="3AD1189A"/>
    <w:rsid w:val="3AD1CB8C"/>
    <w:rsid w:val="3AE31E87"/>
    <w:rsid w:val="3AEF7B5F"/>
    <w:rsid w:val="3B7D557D"/>
    <w:rsid w:val="3BDFED84"/>
    <w:rsid w:val="3BF22577"/>
    <w:rsid w:val="3C3D4256"/>
    <w:rsid w:val="3C486B75"/>
    <w:rsid w:val="3C4D3B26"/>
    <w:rsid w:val="3CE98BA2"/>
    <w:rsid w:val="3D6B4BCB"/>
    <w:rsid w:val="3DDB10A7"/>
    <w:rsid w:val="3DF7AC00"/>
    <w:rsid w:val="3DF934C0"/>
    <w:rsid w:val="3DFF7721"/>
    <w:rsid w:val="3E511318"/>
    <w:rsid w:val="3E8571B7"/>
    <w:rsid w:val="3E8E3845"/>
    <w:rsid w:val="3EA33422"/>
    <w:rsid w:val="3EB7C14B"/>
    <w:rsid w:val="3EE41935"/>
    <w:rsid w:val="3EFCCC54"/>
    <w:rsid w:val="3F1F30A0"/>
    <w:rsid w:val="3F265A67"/>
    <w:rsid w:val="3F332941"/>
    <w:rsid w:val="3F387CFA"/>
    <w:rsid w:val="3F7241B9"/>
    <w:rsid w:val="3F823EE0"/>
    <w:rsid w:val="3FA55B84"/>
    <w:rsid w:val="3FAF1376"/>
    <w:rsid w:val="3FB69E07"/>
    <w:rsid w:val="3FBA5400"/>
    <w:rsid w:val="3FCF2C94"/>
    <w:rsid w:val="3FE54BC4"/>
    <w:rsid w:val="3FF9251B"/>
    <w:rsid w:val="3FFD2779"/>
    <w:rsid w:val="3FFF565C"/>
    <w:rsid w:val="4026710C"/>
    <w:rsid w:val="406D3A55"/>
    <w:rsid w:val="41142D33"/>
    <w:rsid w:val="41572E77"/>
    <w:rsid w:val="41793308"/>
    <w:rsid w:val="41D13426"/>
    <w:rsid w:val="41EF3DAC"/>
    <w:rsid w:val="42207C9E"/>
    <w:rsid w:val="422424BA"/>
    <w:rsid w:val="42554D48"/>
    <w:rsid w:val="42A3188F"/>
    <w:rsid w:val="43517C35"/>
    <w:rsid w:val="439208AD"/>
    <w:rsid w:val="43993F01"/>
    <w:rsid w:val="44FB3105"/>
    <w:rsid w:val="45493E46"/>
    <w:rsid w:val="455D0BA5"/>
    <w:rsid w:val="456D6DF6"/>
    <w:rsid w:val="456E7810"/>
    <w:rsid w:val="457A017A"/>
    <w:rsid w:val="457A2FE7"/>
    <w:rsid w:val="45FFC1BF"/>
    <w:rsid w:val="461E6AAB"/>
    <w:rsid w:val="4638275C"/>
    <w:rsid w:val="464E6D23"/>
    <w:rsid w:val="465D52C1"/>
    <w:rsid w:val="466044FF"/>
    <w:rsid w:val="46717696"/>
    <w:rsid w:val="467D356A"/>
    <w:rsid w:val="4763294D"/>
    <w:rsid w:val="479C0BD7"/>
    <w:rsid w:val="47AD2F34"/>
    <w:rsid w:val="47EE9C32"/>
    <w:rsid w:val="47F85AED"/>
    <w:rsid w:val="482C6C9F"/>
    <w:rsid w:val="48494F17"/>
    <w:rsid w:val="487771DE"/>
    <w:rsid w:val="4950374E"/>
    <w:rsid w:val="497C0756"/>
    <w:rsid w:val="49CD385E"/>
    <w:rsid w:val="49EF3405"/>
    <w:rsid w:val="4A681DAD"/>
    <w:rsid w:val="4A925084"/>
    <w:rsid w:val="4B7D2C1A"/>
    <w:rsid w:val="4BB19C25"/>
    <w:rsid w:val="4BFE12CB"/>
    <w:rsid w:val="4C3F1080"/>
    <w:rsid w:val="4C7E9925"/>
    <w:rsid w:val="4C7FEE29"/>
    <w:rsid w:val="4CC838E4"/>
    <w:rsid w:val="4CC918FA"/>
    <w:rsid w:val="4D0136EA"/>
    <w:rsid w:val="4D2D0843"/>
    <w:rsid w:val="4D534569"/>
    <w:rsid w:val="4D9C38A9"/>
    <w:rsid w:val="4E1D4C79"/>
    <w:rsid w:val="4E7DCC0B"/>
    <w:rsid w:val="4E9D38E3"/>
    <w:rsid w:val="4EBB6A92"/>
    <w:rsid w:val="4F3F3687"/>
    <w:rsid w:val="4F8C6B6C"/>
    <w:rsid w:val="4F900265"/>
    <w:rsid w:val="4FB753D3"/>
    <w:rsid w:val="4FD90930"/>
    <w:rsid w:val="4FE7C1E1"/>
    <w:rsid w:val="4FF512D1"/>
    <w:rsid w:val="502A1821"/>
    <w:rsid w:val="504E13B1"/>
    <w:rsid w:val="5062534E"/>
    <w:rsid w:val="512C4AE7"/>
    <w:rsid w:val="51776EFA"/>
    <w:rsid w:val="51E137B8"/>
    <w:rsid w:val="52CA3E1B"/>
    <w:rsid w:val="537231C2"/>
    <w:rsid w:val="53E940BF"/>
    <w:rsid w:val="53EA6521"/>
    <w:rsid w:val="53F375F4"/>
    <w:rsid w:val="53F7DD9E"/>
    <w:rsid w:val="53FF13AC"/>
    <w:rsid w:val="54052DF3"/>
    <w:rsid w:val="5495686E"/>
    <w:rsid w:val="54BFF9CB"/>
    <w:rsid w:val="54CE0E4F"/>
    <w:rsid w:val="551D3801"/>
    <w:rsid w:val="55484F87"/>
    <w:rsid w:val="5577616F"/>
    <w:rsid w:val="55A27829"/>
    <w:rsid w:val="55B7C065"/>
    <w:rsid w:val="55ED1F8B"/>
    <w:rsid w:val="56220F86"/>
    <w:rsid w:val="56C7484E"/>
    <w:rsid w:val="572206F8"/>
    <w:rsid w:val="573877F8"/>
    <w:rsid w:val="57BC57D5"/>
    <w:rsid w:val="580D771A"/>
    <w:rsid w:val="58283A84"/>
    <w:rsid w:val="58967F5D"/>
    <w:rsid w:val="59033410"/>
    <w:rsid w:val="5943066F"/>
    <w:rsid w:val="59876AC3"/>
    <w:rsid w:val="59EB8166"/>
    <w:rsid w:val="59F15DFF"/>
    <w:rsid w:val="59F8CB37"/>
    <w:rsid w:val="5A771B27"/>
    <w:rsid w:val="5A950D0E"/>
    <w:rsid w:val="5AAC660A"/>
    <w:rsid w:val="5B853385"/>
    <w:rsid w:val="5BB91ED7"/>
    <w:rsid w:val="5BFC5515"/>
    <w:rsid w:val="5BFEE1A3"/>
    <w:rsid w:val="5C031D1D"/>
    <w:rsid w:val="5C3261C3"/>
    <w:rsid w:val="5C3E4B8B"/>
    <w:rsid w:val="5C5507DC"/>
    <w:rsid w:val="5CABDDD9"/>
    <w:rsid w:val="5CDC6150"/>
    <w:rsid w:val="5D193E4F"/>
    <w:rsid w:val="5DF82BC6"/>
    <w:rsid w:val="5E2D1C7D"/>
    <w:rsid w:val="5E5D784E"/>
    <w:rsid w:val="5EB31813"/>
    <w:rsid w:val="5EFB98AD"/>
    <w:rsid w:val="5F1E62CD"/>
    <w:rsid w:val="5F2A477C"/>
    <w:rsid w:val="5F2E64C6"/>
    <w:rsid w:val="5F4B35E2"/>
    <w:rsid w:val="5F4BB1B7"/>
    <w:rsid w:val="5F6F18ED"/>
    <w:rsid w:val="5F6FCB96"/>
    <w:rsid w:val="5F75270B"/>
    <w:rsid w:val="5F77C2DA"/>
    <w:rsid w:val="5F7E102F"/>
    <w:rsid w:val="5F901910"/>
    <w:rsid w:val="5FC9455E"/>
    <w:rsid w:val="5FE72DEC"/>
    <w:rsid w:val="6070051D"/>
    <w:rsid w:val="607628B2"/>
    <w:rsid w:val="60A7418B"/>
    <w:rsid w:val="60AB37A0"/>
    <w:rsid w:val="610331DA"/>
    <w:rsid w:val="618B6129"/>
    <w:rsid w:val="61A86771"/>
    <w:rsid w:val="61AF1066"/>
    <w:rsid w:val="61FE7F0D"/>
    <w:rsid w:val="6218784A"/>
    <w:rsid w:val="623F05BE"/>
    <w:rsid w:val="62BFEAC7"/>
    <w:rsid w:val="62C60A7D"/>
    <w:rsid w:val="62F0690C"/>
    <w:rsid w:val="635D224A"/>
    <w:rsid w:val="635D4B89"/>
    <w:rsid w:val="637DF333"/>
    <w:rsid w:val="638204A7"/>
    <w:rsid w:val="63AC129F"/>
    <w:rsid w:val="63BDFCA5"/>
    <w:rsid w:val="64142189"/>
    <w:rsid w:val="64150CB1"/>
    <w:rsid w:val="64E749A0"/>
    <w:rsid w:val="64EE1E3E"/>
    <w:rsid w:val="64FB7A25"/>
    <w:rsid w:val="64FC5421"/>
    <w:rsid w:val="650C1FCC"/>
    <w:rsid w:val="652E0F84"/>
    <w:rsid w:val="66332ED4"/>
    <w:rsid w:val="66352CCC"/>
    <w:rsid w:val="664F4D7F"/>
    <w:rsid w:val="66583767"/>
    <w:rsid w:val="667F63F5"/>
    <w:rsid w:val="66933D4D"/>
    <w:rsid w:val="66A24AE7"/>
    <w:rsid w:val="66D2682D"/>
    <w:rsid w:val="671A7D86"/>
    <w:rsid w:val="67813120"/>
    <w:rsid w:val="67F468FC"/>
    <w:rsid w:val="67FB99AE"/>
    <w:rsid w:val="67FF8D84"/>
    <w:rsid w:val="68B41298"/>
    <w:rsid w:val="69277057"/>
    <w:rsid w:val="6974126E"/>
    <w:rsid w:val="69D5114B"/>
    <w:rsid w:val="69F6DC57"/>
    <w:rsid w:val="69FFE0DC"/>
    <w:rsid w:val="6A2D1D44"/>
    <w:rsid w:val="6AB61DC9"/>
    <w:rsid w:val="6AB63A7D"/>
    <w:rsid w:val="6ABE0F31"/>
    <w:rsid w:val="6ACC0F19"/>
    <w:rsid w:val="6AEB0A58"/>
    <w:rsid w:val="6B026A34"/>
    <w:rsid w:val="6B14502F"/>
    <w:rsid w:val="6B2D7B77"/>
    <w:rsid w:val="6B7F31BF"/>
    <w:rsid w:val="6B97634A"/>
    <w:rsid w:val="6B9B2E39"/>
    <w:rsid w:val="6C49697D"/>
    <w:rsid w:val="6CBBD214"/>
    <w:rsid w:val="6CC7CC65"/>
    <w:rsid w:val="6CEE79A2"/>
    <w:rsid w:val="6CFC1739"/>
    <w:rsid w:val="6D389E9E"/>
    <w:rsid w:val="6DA38F3C"/>
    <w:rsid w:val="6DAD5B82"/>
    <w:rsid w:val="6DE23D03"/>
    <w:rsid w:val="6DEF7E92"/>
    <w:rsid w:val="6DFD44E6"/>
    <w:rsid w:val="6E3F58C6"/>
    <w:rsid w:val="6E5D1D32"/>
    <w:rsid w:val="6EDDD28B"/>
    <w:rsid w:val="6F2D8CF5"/>
    <w:rsid w:val="6F6225F4"/>
    <w:rsid w:val="6F66218E"/>
    <w:rsid w:val="6F6FECF5"/>
    <w:rsid w:val="6F7FCC8D"/>
    <w:rsid w:val="6FB74B2B"/>
    <w:rsid w:val="6FC47964"/>
    <w:rsid w:val="6FD75037"/>
    <w:rsid w:val="6FDDAF14"/>
    <w:rsid w:val="6FE7AD02"/>
    <w:rsid w:val="6FFAA254"/>
    <w:rsid w:val="6FFE0993"/>
    <w:rsid w:val="701338D9"/>
    <w:rsid w:val="705A6872"/>
    <w:rsid w:val="705F02BB"/>
    <w:rsid w:val="70CB2C6B"/>
    <w:rsid w:val="70DD62E0"/>
    <w:rsid w:val="71226926"/>
    <w:rsid w:val="71D94C0E"/>
    <w:rsid w:val="720963A4"/>
    <w:rsid w:val="720D47FC"/>
    <w:rsid w:val="723547AA"/>
    <w:rsid w:val="72801DC6"/>
    <w:rsid w:val="72A80E0D"/>
    <w:rsid w:val="72AF7BBB"/>
    <w:rsid w:val="731674B5"/>
    <w:rsid w:val="73274BF7"/>
    <w:rsid w:val="737A3D6D"/>
    <w:rsid w:val="73933967"/>
    <w:rsid w:val="73E1060D"/>
    <w:rsid w:val="73E6BB1A"/>
    <w:rsid w:val="73FB1F4E"/>
    <w:rsid w:val="73FE64FF"/>
    <w:rsid w:val="73FEA968"/>
    <w:rsid w:val="74330CDC"/>
    <w:rsid w:val="74574B55"/>
    <w:rsid w:val="746F4E8F"/>
    <w:rsid w:val="74804BF7"/>
    <w:rsid w:val="74BE87D8"/>
    <w:rsid w:val="74F125AE"/>
    <w:rsid w:val="7529719D"/>
    <w:rsid w:val="7532010B"/>
    <w:rsid w:val="755A0C32"/>
    <w:rsid w:val="759C29AB"/>
    <w:rsid w:val="75A645B9"/>
    <w:rsid w:val="75DB69E6"/>
    <w:rsid w:val="75E03E23"/>
    <w:rsid w:val="75EA5621"/>
    <w:rsid w:val="767747B2"/>
    <w:rsid w:val="767B248B"/>
    <w:rsid w:val="76942688"/>
    <w:rsid w:val="76B7486D"/>
    <w:rsid w:val="76C33019"/>
    <w:rsid w:val="76DBE3A1"/>
    <w:rsid w:val="770F6F3D"/>
    <w:rsid w:val="77222571"/>
    <w:rsid w:val="77545816"/>
    <w:rsid w:val="77636994"/>
    <w:rsid w:val="777B7D4E"/>
    <w:rsid w:val="777C4690"/>
    <w:rsid w:val="777C8C32"/>
    <w:rsid w:val="777E76B0"/>
    <w:rsid w:val="777F1661"/>
    <w:rsid w:val="77952CCD"/>
    <w:rsid w:val="77DB7363"/>
    <w:rsid w:val="77FAE05B"/>
    <w:rsid w:val="77FBF027"/>
    <w:rsid w:val="77FDFF8C"/>
    <w:rsid w:val="77FFEAA7"/>
    <w:rsid w:val="789439A5"/>
    <w:rsid w:val="78DE90D7"/>
    <w:rsid w:val="791D56BB"/>
    <w:rsid w:val="797F56DE"/>
    <w:rsid w:val="79C32E24"/>
    <w:rsid w:val="79C90CA2"/>
    <w:rsid w:val="79F6C057"/>
    <w:rsid w:val="79F7B3BE"/>
    <w:rsid w:val="7A44096E"/>
    <w:rsid w:val="7A4C7965"/>
    <w:rsid w:val="7A5A7F34"/>
    <w:rsid w:val="7A74749F"/>
    <w:rsid w:val="7A7B6B97"/>
    <w:rsid w:val="7A926284"/>
    <w:rsid w:val="7AFC526C"/>
    <w:rsid w:val="7B0E31C9"/>
    <w:rsid w:val="7B7B7793"/>
    <w:rsid w:val="7B7E4AD5"/>
    <w:rsid w:val="7B8A49B3"/>
    <w:rsid w:val="7B9B2AB5"/>
    <w:rsid w:val="7BBF0DC2"/>
    <w:rsid w:val="7BCE7CF0"/>
    <w:rsid w:val="7BDB7DA6"/>
    <w:rsid w:val="7BEC88F1"/>
    <w:rsid w:val="7BEEB516"/>
    <w:rsid w:val="7C4659B2"/>
    <w:rsid w:val="7C603753"/>
    <w:rsid w:val="7C792C1C"/>
    <w:rsid w:val="7C7DF7F2"/>
    <w:rsid w:val="7CBE23FA"/>
    <w:rsid w:val="7CC39ABA"/>
    <w:rsid w:val="7CCEB82D"/>
    <w:rsid w:val="7CEB0F0D"/>
    <w:rsid w:val="7CEEB796"/>
    <w:rsid w:val="7CEF4CA9"/>
    <w:rsid w:val="7CFC1BF7"/>
    <w:rsid w:val="7CFE703B"/>
    <w:rsid w:val="7CFE7FE7"/>
    <w:rsid w:val="7D3E2A5C"/>
    <w:rsid w:val="7D5F13A3"/>
    <w:rsid w:val="7D75C39B"/>
    <w:rsid w:val="7D7A721E"/>
    <w:rsid w:val="7D830292"/>
    <w:rsid w:val="7DDF44B3"/>
    <w:rsid w:val="7DF562BD"/>
    <w:rsid w:val="7DF73048"/>
    <w:rsid w:val="7DFC0540"/>
    <w:rsid w:val="7DFF0BF7"/>
    <w:rsid w:val="7E2E6F82"/>
    <w:rsid w:val="7E4331F8"/>
    <w:rsid w:val="7E77CD75"/>
    <w:rsid w:val="7E8FDE74"/>
    <w:rsid w:val="7E9166EF"/>
    <w:rsid w:val="7E91BF06"/>
    <w:rsid w:val="7E9C76E0"/>
    <w:rsid w:val="7EAD438A"/>
    <w:rsid w:val="7EBF383E"/>
    <w:rsid w:val="7EBFE811"/>
    <w:rsid w:val="7EDF7645"/>
    <w:rsid w:val="7EE93D1E"/>
    <w:rsid w:val="7EEDDBF4"/>
    <w:rsid w:val="7EF3028F"/>
    <w:rsid w:val="7EF7397D"/>
    <w:rsid w:val="7EFFFAC2"/>
    <w:rsid w:val="7F4546C9"/>
    <w:rsid w:val="7F5B9B70"/>
    <w:rsid w:val="7F5EC96B"/>
    <w:rsid w:val="7F5F3447"/>
    <w:rsid w:val="7F6A8416"/>
    <w:rsid w:val="7F6C8CD8"/>
    <w:rsid w:val="7F6FA7C3"/>
    <w:rsid w:val="7F7B1DC6"/>
    <w:rsid w:val="7F7BAE15"/>
    <w:rsid w:val="7F7FD06C"/>
    <w:rsid w:val="7F9B640F"/>
    <w:rsid w:val="7FABC727"/>
    <w:rsid w:val="7FBD8B9D"/>
    <w:rsid w:val="7FBEF842"/>
    <w:rsid w:val="7FBFC3E0"/>
    <w:rsid w:val="7FCBBA7E"/>
    <w:rsid w:val="7FDD3C2C"/>
    <w:rsid w:val="7FEBD060"/>
    <w:rsid w:val="7FEFB8D2"/>
    <w:rsid w:val="7FEFE1BB"/>
    <w:rsid w:val="7FF4794E"/>
    <w:rsid w:val="7FFBCF0F"/>
    <w:rsid w:val="7FFDE15D"/>
    <w:rsid w:val="7FFE4AAB"/>
    <w:rsid w:val="7FFF5BD7"/>
    <w:rsid w:val="7FFF7B55"/>
    <w:rsid w:val="85FF811A"/>
    <w:rsid w:val="87B83940"/>
    <w:rsid w:val="88B9B111"/>
    <w:rsid w:val="8BFD687D"/>
    <w:rsid w:val="8CFEC618"/>
    <w:rsid w:val="8E7F9507"/>
    <w:rsid w:val="8FDDEFC1"/>
    <w:rsid w:val="8FF67435"/>
    <w:rsid w:val="96F64F01"/>
    <w:rsid w:val="97FB30CA"/>
    <w:rsid w:val="99BFB058"/>
    <w:rsid w:val="9AB6B1E2"/>
    <w:rsid w:val="9D7D3929"/>
    <w:rsid w:val="9EDF3DB2"/>
    <w:rsid w:val="9EF571E5"/>
    <w:rsid w:val="9FDEA139"/>
    <w:rsid w:val="9FE601E2"/>
    <w:rsid w:val="9FFDC678"/>
    <w:rsid w:val="9FFFA1E1"/>
    <w:rsid w:val="A3AE38F6"/>
    <w:rsid w:val="A7CA78ED"/>
    <w:rsid w:val="AE7A1DBF"/>
    <w:rsid w:val="AF9D54E8"/>
    <w:rsid w:val="AFD7FA95"/>
    <w:rsid w:val="AFDDB481"/>
    <w:rsid w:val="AFEB778F"/>
    <w:rsid w:val="B0F3A9DA"/>
    <w:rsid w:val="B1A6B89F"/>
    <w:rsid w:val="B1BBAF80"/>
    <w:rsid w:val="B36DB411"/>
    <w:rsid w:val="B77D3CE0"/>
    <w:rsid w:val="B7D3AD6B"/>
    <w:rsid w:val="B7FF7D51"/>
    <w:rsid w:val="BA6FEF01"/>
    <w:rsid w:val="BAFB4A14"/>
    <w:rsid w:val="BBABF243"/>
    <w:rsid w:val="BBAF8AAD"/>
    <w:rsid w:val="BBF666C0"/>
    <w:rsid w:val="BBFFEE37"/>
    <w:rsid w:val="BCDF04FE"/>
    <w:rsid w:val="BD3EAA7C"/>
    <w:rsid w:val="BE4BD121"/>
    <w:rsid w:val="BEDFDCF6"/>
    <w:rsid w:val="BEE3FAB3"/>
    <w:rsid w:val="BF4FB542"/>
    <w:rsid w:val="BF777EE4"/>
    <w:rsid w:val="BFDE51D4"/>
    <w:rsid w:val="BFEBE8E5"/>
    <w:rsid w:val="BFF79ABC"/>
    <w:rsid w:val="BFFEA667"/>
    <w:rsid w:val="CB7F6596"/>
    <w:rsid w:val="CBF324AA"/>
    <w:rsid w:val="CC3FDB10"/>
    <w:rsid w:val="CEF70777"/>
    <w:rsid w:val="CFB75289"/>
    <w:rsid w:val="CFBBED95"/>
    <w:rsid w:val="CFFFC906"/>
    <w:rsid w:val="D0FB6996"/>
    <w:rsid w:val="D1D7E06C"/>
    <w:rsid w:val="D269B4A3"/>
    <w:rsid w:val="D2F57825"/>
    <w:rsid w:val="D5FF8AE8"/>
    <w:rsid w:val="D61E5853"/>
    <w:rsid w:val="D71F7F36"/>
    <w:rsid w:val="D7F74BED"/>
    <w:rsid w:val="D7FF6F7F"/>
    <w:rsid w:val="DAEE891A"/>
    <w:rsid w:val="DB93B1E3"/>
    <w:rsid w:val="DB9FDDD2"/>
    <w:rsid w:val="DBEB59EA"/>
    <w:rsid w:val="DBFF03F7"/>
    <w:rsid w:val="DCDB2328"/>
    <w:rsid w:val="DD6B1B4A"/>
    <w:rsid w:val="DD9B3D20"/>
    <w:rsid w:val="DDDF2D83"/>
    <w:rsid w:val="DDEFD485"/>
    <w:rsid w:val="DDFF4441"/>
    <w:rsid w:val="DE76F425"/>
    <w:rsid w:val="DE96D5B8"/>
    <w:rsid w:val="DEADC228"/>
    <w:rsid w:val="DF57CF36"/>
    <w:rsid w:val="DF5DB8DC"/>
    <w:rsid w:val="DFA7FB85"/>
    <w:rsid w:val="DFD778FF"/>
    <w:rsid w:val="DFDC3E95"/>
    <w:rsid w:val="DFE78373"/>
    <w:rsid w:val="DFEE3AE1"/>
    <w:rsid w:val="DFFCDC1C"/>
    <w:rsid w:val="DFFF0B81"/>
    <w:rsid w:val="DFFF82D9"/>
    <w:rsid w:val="E2BE3BA8"/>
    <w:rsid w:val="E3BDA885"/>
    <w:rsid w:val="E69F25B0"/>
    <w:rsid w:val="E757E439"/>
    <w:rsid w:val="E77C0984"/>
    <w:rsid w:val="E77D802B"/>
    <w:rsid w:val="E7FF4BA9"/>
    <w:rsid w:val="E82FE94D"/>
    <w:rsid w:val="E94BE5BB"/>
    <w:rsid w:val="EA1E3D3D"/>
    <w:rsid w:val="EADD183F"/>
    <w:rsid w:val="EAFF3BF6"/>
    <w:rsid w:val="EB040C6D"/>
    <w:rsid w:val="EBBC17B1"/>
    <w:rsid w:val="EBEF08D5"/>
    <w:rsid w:val="EBF39313"/>
    <w:rsid w:val="EBFD7A77"/>
    <w:rsid w:val="ECF5460C"/>
    <w:rsid w:val="ECFF5B8D"/>
    <w:rsid w:val="ED370991"/>
    <w:rsid w:val="EDDD7EAD"/>
    <w:rsid w:val="EEFF560F"/>
    <w:rsid w:val="EF43DD79"/>
    <w:rsid w:val="EF5B8DC2"/>
    <w:rsid w:val="EF6FB992"/>
    <w:rsid w:val="EF7E7F5B"/>
    <w:rsid w:val="EFD4DBB6"/>
    <w:rsid w:val="EFE7A2F8"/>
    <w:rsid w:val="EFEA502B"/>
    <w:rsid w:val="EFF98C3D"/>
    <w:rsid w:val="EFFE268C"/>
    <w:rsid w:val="EFFFCEF9"/>
    <w:rsid w:val="F26EA3D2"/>
    <w:rsid w:val="F3EF81EE"/>
    <w:rsid w:val="F3FCBBDB"/>
    <w:rsid w:val="F4AFC037"/>
    <w:rsid w:val="F4ED0D22"/>
    <w:rsid w:val="F59755A2"/>
    <w:rsid w:val="F5CFC01A"/>
    <w:rsid w:val="F5DBF057"/>
    <w:rsid w:val="F5FF32E2"/>
    <w:rsid w:val="F68FB4F5"/>
    <w:rsid w:val="F6BBF576"/>
    <w:rsid w:val="F6D39B9F"/>
    <w:rsid w:val="F6EB8C63"/>
    <w:rsid w:val="F739E612"/>
    <w:rsid w:val="F7514921"/>
    <w:rsid w:val="F7789177"/>
    <w:rsid w:val="F79E05BF"/>
    <w:rsid w:val="F79E99C0"/>
    <w:rsid w:val="F7B60677"/>
    <w:rsid w:val="F7C55286"/>
    <w:rsid w:val="F7DF9957"/>
    <w:rsid w:val="F7DFC9FB"/>
    <w:rsid w:val="F7EEA265"/>
    <w:rsid w:val="F7F3D739"/>
    <w:rsid w:val="F7F3E970"/>
    <w:rsid w:val="F7F4C4A6"/>
    <w:rsid w:val="F7FD1D34"/>
    <w:rsid w:val="F7FDE434"/>
    <w:rsid w:val="F95B4317"/>
    <w:rsid w:val="F95F8859"/>
    <w:rsid w:val="F9FDBE92"/>
    <w:rsid w:val="FA0F22FE"/>
    <w:rsid w:val="FA5D8E76"/>
    <w:rsid w:val="FADF3211"/>
    <w:rsid w:val="FBDFF49E"/>
    <w:rsid w:val="FBF990C3"/>
    <w:rsid w:val="FBFF4440"/>
    <w:rsid w:val="FBFFBA0E"/>
    <w:rsid w:val="FCFB92F7"/>
    <w:rsid w:val="FD1E11BF"/>
    <w:rsid w:val="FD3BA247"/>
    <w:rsid w:val="FD7FA7FF"/>
    <w:rsid w:val="FD97FEAF"/>
    <w:rsid w:val="FDB7F806"/>
    <w:rsid w:val="FDDFCD62"/>
    <w:rsid w:val="FDEFECB3"/>
    <w:rsid w:val="FDF6ED64"/>
    <w:rsid w:val="FE0FF375"/>
    <w:rsid w:val="FE3F9A06"/>
    <w:rsid w:val="FE3FEAD1"/>
    <w:rsid w:val="FE4EF61D"/>
    <w:rsid w:val="FE6D3A43"/>
    <w:rsid w:val="FE77DF4A"/>
    <w:rsid w:val="FE975E96"/>
    <w:rsid w:val="FECFDE6E"/>
    <w:rsid w:val="FEFB1F51"/>
    <w:rsid w:val="FEFB69BA"/>
    <w:rsid w:val="FEFE3DF4"/>
    <w:rsid w:val="FEFF7435"/>
    <w:rsid w:val="FF1B90E7"/>
    <w:rsid w:val="FF3CACAD"/>
    <w:rsid w:val="FF3EEA28"/>
    <w:rsid w:val="FF55DC4D"/>
    <w:rsid w:val="FF79B073"/>
    <w:rsid w:val="FF7D4C3B"/>
    <w:rsid w:val="FF7F48A9"/>
    <w:rsid w:val="FF7F5949"/>
    <w:rsid w:val="FF7F8A62"/>
    <w:rsid w:val="FF876852"/>
    <w:rsid w:val="FF8BB21D"/>
    <w:rsid w:val="FF8F6F3B"/>
    <w:rsid w:val="FF9BD19E"/>
    <w:rsid w:val="FFAF31AB"/>
    <w:rsid w:val="FFBB01D8"/>
    <w:rsid w:val="FFBD1DE0"/>
    <w:rsid w:val="FFBDEDDA"/>
    <w:rsid w:val="FFC6CF8A"/>
    <w:rsid w:val="FFCA9234"/>
    <w:rsid w:val="FFCE6F08"/>
    <w:rsid w:val="FFD7DD22"/>
    <w:rsid w:val="FFDBD3C5"/>
    <w:rsid w:val="FFDF7A5F"/>
    <w:rsid w:val="FFDFA7E7"/>
    <w:rsid w:val="FFE7D497"/>
    <w:rsid w:val="FFEF6AA0"/>
    <w:rsid w:val="FFF15DF7"/>
    <w:rsid w:val="FFF1C706"/>
    <w:rsid w:val="FFF6E108"/>
    <w:rsid w:val="FFFB9CC5"/>
    <w:rsid w:val="FFFE1ECD"/>
    <w:rsid w:val="FFFF1838"/>
    <w:rsid w:val="FFFF65EB"/>
    <w:rsid w:val="FFFFB3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1"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240" w:lineRule="atLeast"/>
      <w:jc w:val="both"/>
    </w:pPr>
    <w:rPr>
      <w:rFonts w:eastAsia="仿宋_GB2312"/>
      <w:spacing w:val="-6"/>
      <w:kern w:val="2"/>
      <w:sz w:val="32"/>
      <w:lang w:val="en-US" w:eastAsia="zh-CN"/>
    </w:rPr>
  </w:style>
  <w:style w:type="paragraph" w:styleId="4">
    <w:name w:val="heading 1"/>
    <w:basedOn w:val="1"/>
    <w:next w:val="1"/>
    <w:qFormat/>
    <w:uiPriority w:val="1"/>
    <w:pPr>
      <w:ind w:left="175"/>
      <w:outlineLvl w:val="0"/>
    </w:pPr>
    <w:rPr>
      <w:rFonts w:ascii="方正小标宋简体" w:hAnsi="方正小标宋简体" w:eastAsia="方正小标宋简体" w:cs="方正小标宋简体"/>
      <w:sz w:val="44"/>
      <w:szCs w:val="44"/>
    </w:rPr>
  </w:style>
  <w:style w:type="paragraph" w:styleId="5">
    <w:name w:val="heading 3"/>
    <w:basedOn w:val="1"/>
    <w:next w:val="1"/>
    <w:uiPriority w:val="0"/>
    <w:pPr>
      <w:spacing w:beforeAutospacing="1" w:afterAutospacing="1"/>
      <w:outlineLvl w:val="2"/>
    </w:pPr>
    <w:rPr>
      <w:rFonts w:hint="eastAsia" w:ascii="宋体" w:hAnsi="宋体" w:eastAsia="宋体" w:cs="Times New Roman"/>
      <w:b/>
      <w:kern w:val="0"/>
      <w:sz w:val="27"/>
      <w:szCs w:val="27"/>
    </w:rPr>
  </w:style>
  <w:style w:type="character" w:default="1" w:styleId="23">
    <w:name w:val="Default Paragraph Font"/>
    <w:uiPriority w:val="0"/>
  </w:style>
  <w:style w:type="table" w:default="1" w:styleId="21">
    <w:name w:val="Normal Table"/>
    <w:unhideWhenUsed/>
    <w:uiPriority w:val="99"/>
    <w:tblPr>
      <w:tblStyle w:val="21"/>
      <w:tblCellMar>
        <w:top w:w="0" w:type="dxa"/>
        <w:left w:w="108" w:type="dxa"/>
        <w:bottom w:w="0" w:type="dxa"/>
        <w:right w:w="108" w:type="dxa"/>
      </w:tblCellMar>
    </w:tblPr>
  </w:style>
  <w:style w:type="paragraph" w:customStyle="1" w:styleId="2">
    <w:name w:val="Acetate"/>
    <w:basedOn w:val="1"/>
    <w:next w:val="3"/>
    <w:qFormat/>
    <w:uiPriority w:val="0"/>
    <w:pPr>
      <w:textAlignment w:val="baseline"/>
    </w:pPr>
    <w:rPr>
      <w:rFonts w:ascii="??" w:hAnsi="??" w:eastAsia="Times New Roman"/>
      <w:sz w:val="18"/>
      <w:szCs w:val="18"/>
    </w:rPr>
  </w:style>
  <w:style w:type="paragraph" w:customStyle="1" w:styleId="3">
    <w:name w:val="HtmlPre"/>
    <w:basedOn w:val="1"/>
    <w:qFormat/>
    <w:uiPriority w:val="0"/>
    <w:rPr>
      <w:rFonts w:ascii="Courier New" w:hAnsi="Courier New"/>
      <w:sz w:val="20"/>
    </w:rPr>
  </w:style>
  <w:style w:type="paragraph" w:styleId="6">
    <w:name w:val="Normal Indent"/>
    <w:basedOn w:val="1"/>
    <w:next w:val="1"/>
    <w:uiPriority w:val="0"/>
    <w:pPr>
      <w:ind w:firstLine="420"/>
    </w:pPr>
    <w:rPr>
      <w:rFonts w:ascii="Verdana" w:hAnsi="Verdana"/>
      <w:szCs w:val="20"/>
    </w:rPr>
  </w:style>
  <w:style w:type="paragraph" w:styleId="7">
    <w:name w:val="index 6"/>
    <w:basedOn w:val="1"/>
    <w:next w:val="1"/>
    <w:qFormat/>
    <w:uiPriority w:val="0"/>
    <w:pPr>
      <w:ind w:left="2100"/>
    </w:pPr>
  </w:style>
  <w:style w:type="paragraph" w:styleId="8">
    <w:name w:val="Body Text"/>
    <w:basedOn w:val="1"/>
    <w:next w:val="1"/>
    <w:uiPriority w:val="0"/>
    <w:pPr>
      <w:spacing w:after="120"/>
    </w:pPr>
  </w:style>
  <w:style w:type="paragraph" w:styleId="9">
    <w:name w:val="Body Text Indent"/>
    <w:basedOn w:val="1"/>
    <w:uiPriority w:val="0"/>
    <w:pPr>
      <w:tabs>
        <w:tab w:val="left" w:pos="0"/>
      </w:tabs>
      <w:ind w:firstLine="540" w:firstLineChars="225"/>
    </w:pPr>
    <w:rPr>
      <w:sz w:val="24"/>
    </w:rPr>
  </w:style>
  <w:style w:type="paragraph" w:styleId="10">
    <w:name w:val="Plain Text"/>
    <w:basedOn w:val="1"/>
    <w:qFormat/>
    <w:uiPriority w:val="0"/>
    <w:rPr>
      <w:rFonts w:ascii="宋体" w:hAnsi="Courier New"/>
    </w:rPr>
  </w:style>
  <w:style w:type="paragraph" w:styleId="11">
    <w:name w:val="Date"/>
    <w:basedOn w:val="1"/>
    <w:next w:val="1"/>
    <w:uiPriority w:val="0"/>
    <w:pPr>
      <w:ind w:left="100" w:leftChars="2500"/>
    </w:pPr>
  </w:style>
  <w:style w:type="paragraph" w:styleId="12">
    <w:name w:val="Body Text Indent 2"/>
    <w:basedOn w:val="1"/>
    <w:next w:val="7"/>
    <w:qFormat/>
    <w:uiPriority w:val="0"/>
    <w:pPr>
      <w:spacing w:after="120" w:line="480" w:lineRule="auto"/>
      <w:ind w:left="420" w:leftChars="200"/>
    </w:pPr>
  </w:style>
  <w:style w:type="paragraph" w:styleId="13">
    <w:name w:val="Balloon Text"/>
    <w:basedOn w:val="1"/>
    <w:next w:val="14"/>
    <w:uiPriority w:val="0"/>
    <w:rPr>
      <w:sz w:val="18"/>
      <w:szCs w:val="18"/>
    </w:rPr>
  </w:style>
  <w:style w:type="paragraph" w:styleId="1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宋体"/>
      <w:kern w:val="0"/>
      <w:sz w:val="24"/>
    </w:rPr>
  </w:style>
  <w:style w:type="paragraph" w:styleId="15">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16">
    <w:name w:val="header"/>
    <w:basedOn w:val="1"/>
    <w:next w:val="8"/>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17">
    <w:name w:val="List Number 5"/>
    <w:basedOn w:val="1"/>
    <w:uiPriority w:val="0"/>
    <w:pPr>
      <w:numPr>
        <w:ilvl w:val="0"/>
        <w:numId w:val="1"/>
      </w:numPr>
    </w:pPr>
  </w:style>
  <w:style w:type="paragraph" w:styleId="18">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9">
    <w:name w:val="Body Text First Indent"/>
    <w:basedOn w:val="8"/>
    <w:qFormat/>
    <w:uiPriority w:val="0"/>
    <w:pPr>
      <w:ind w:firstLine="420" w:firstLineChars="100"/>
    </w:pPr>
  </w:style>
  <w:style w:type="paragraph" w:styleId="20">
    <w:name w:val="Body Text First Indent 2"/>
    <w:basedOn w:val="1"/>
    <w:uiPriority w:val="0"/>
    <w:pPr>
      <w:tabs>
        <w:tab w:val="left" w:pos="0"/>
      </w:tabs>
      <w:ind w:firstLine="420"/>
    </w:pPr>
  </w:style>
  <w:style w:type="table" w:styleId="22">
    <w:name w:val="Table Grid"/>
    <w:basedOn w:val="21"/>
    <w:qFormat/>
    <w:uiPriority w:val="0"/>
    <w:pPr>
      <w:widowControl w:val="0"/>
      <w:jc w:val="both"/>
    </w:pPr>
    <w:tblPr>
      <w:tblStyle w:val="2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uiPriority w:val="0"/>
    <w:rPr>
      <w:b/>
    </w:rPr>
  </w:style>
  <w:style w:type="character" w:styleId="25">
    <w:name w:val="page number"/>
    <w:basedOn w:val="23"/>
    <w:uiPriority w:val="0"/>
  </w:style>
  <w:style w:type="character" w:styleId="26">
    <w:name w:val="line number"/>
    <w:basedOn w:val="23"/>
    <w:uiPriority w:val="0"/>
  </w:style>
  <w:style w:type="character" w:styleId="27">
    <w:name w:val="Hyperlink"/>
    <w:unhideWhenUsed/>
    <w:qFormat/>
    <w:uiPriority w:val="99"/>
    <w:rPr>
      <w:color w:val="0563C1"/>
      <w:u w:val="single"/>
    </w:rPr>
  </w:style>
  <w:style w:type="paragraph" w:customStyle="1" w:styleId="28">
    <w:name w:val="HTML Preformatted1"/>
    <w:basedOn w:val="1"/>
    <w:qFormat/>
    <w:uiPriority w:val="0"/>
    <w:pPr>
      <w:jc w:val="left"/>
    </w:pPr>
    <w:rPr>
      <w:rFonts w:hint="eastAsia" w:ascii="宋体" w:hAnsi="宋体" w:eastAsia="宋体" w:cs="宋体"/>
      <w:kern w:val="0"/>
      <w:sz w:val="24"/>
      <w:szCs w:val="24"/>
      <w:lang w:val="en-US" w:eastAsia="zh-CN"/>
    </w:rPr>
  </w:style>
  <w:style w:type="paragraph" w:customStyle="1" w:styleId="29">
    <w:name w:val="正文缩进311"/>
    <w:next w:val="1"/>
    <w:qFormat/>
    <w:uiPriority w:val="0"/>
    <w:pPr>
      <w:wordWrap w:val="0"/>
      <w:ind w:left="3400"/>
      <w:jc w:val="both"/>
    </w:pPr>
    <w:rPr>
      <w:rFonts w:ascii="Calibri" w:hAnsi="Calibri" w:eastAsia="宋体" w:cs="Times New Roman"/>
      <w:sz w:val="21"/>
      <w:szCs w:val="22"/>
      <w:lang w:val="en-US" w:eastAsia="zh-CN" w:bidi="ar-SA"/>
    </w:rPr>
  </w:style>
  <w:style w:type="paragraph" w:customStyle="1" w:styleId="30">
    <w:name w:val="批注框文本 Char Char"/>
    <w:basedOn w:val="1"/>
    <w:qFormat/>
    <w:uiPriority w:val="0"/>
    <w:rPr>
      <w:sz w:val="18"/>
      <w:szCs w:val="18"/>
    </w:rPr>
  </w:style>
  <w:style w:type="character" w:customStyle="1" w:styleId="31">
    <w:name w:val="NormalCharacter"/>
    <w:semiHidden/>
    <w:qFormat/>
    <w:uiPriority w:val="0"/>
  </w:style>
  <w:style w:type="paragraph" w:customStyle="1" w:styleId="32">
    <w:name w:val="index heading1"/>
    <w:basedOn w:val="1"/>
    <w:next w:val="33"/>
    <w:qFormat/>
    <w:uiPriority w:val="0"/>
    <w:rPr>
      <w:rFonts w:ascii="Arial" w:hAnsi="Arial" w:cs="Arial"/>
      <w:b/>
      <w:bCs/>
    </w:rPr>
  </w:style>
  <w:style w:type="paragraph" w:customStyle="1" w:styleId="33">
    <w:name w:val="index 11"/>
    <w:basedOn w:val="1"/>
    <w:next w:val="1"/>
    <w:qFormat/>
    <w:uiPriority w:val="0"/>
  </w:style>
  <w:style w:type="paragraph" w:customStyle="1" w:styleId="34">
    <w:name w:val="列出段落1"/>
    <w:basedOn w:val="1"/>
    <w:qFormat/>
    <w:uiPriority w:val="99"/>
    <w:pPr>
      <w:ind w:firstLine="420" w:firstLineChars="200"/>
    </w:pPr>
  </w:style>
  <w:style w:type="paragraph" w:customStyle="1" w:styleId="35">
    <w:name w:val="正文 New"/>
    <w:qFormat/>
    <w:uiPriority w:val="0"/>
    <w:pPr>
      <w:widowControl w:val="0"/>
      <w:jc w:val="both"/>
    </w:pPr>
    <w:rPr>
      <w:rFonts w:eastAsia="仿宋_GB2312"/>
      <w:kern w:val="2"/>
      <w:sz w:val="32"/>
      <w:szCs w:val="22"/>
      <w:lang w:val="en-US" w:eastAsia="zh-CN"/>
    </w:rPr>
  </w:style>
  <w:style w:type="paragraph" w:customStyle="1" w:styleId="36">
    <w:name w:val="0"/>
    <w:basedOn w:val="1"/>
    <w:qFormat/>
    <w:uiPriority w:val="0"/>
    <w:pPr>
      <w:widowControl/>
      <w:snapToGrid w:val="0"/>
      <w:spacing w:line="240" w:lineRule="auto"/>
    </w:pPr>
    <w:rPr>
      <w:rFonts w:ascii="Calibri" w:hAnsi="Calibri" w:cs="宋体"/>
      <w:kern w:val="0"/>
      <w:szCs w:val="21"/>
    </w:rPr>
  </w:style>
  <w:style w:type="character" w:customStyle="1" w:styleId="37">
    <w:name w:val="tor t14 tb"/>
    <w:basedOn w:val="23"/>
    <w:qFormat/>
    <w:uiPriority w:val="0"/>
  </w:style>
  <w:style w:type="paragraph" w:customStyle="1" w:styleId="38">
    <w:name w:val="section1"/>
    <w:basedOn w:val="1"/>
    <w:qFormat/>
    <w:uiPriority w:val="0"/>
    <w:pPr>
      <w:spacing w:line="620" w:lineRule="exact"/>
      <w:jc w:val="left"/>
    </w:pPr>
    <w:rPr>
      <w:rFonts w:ascii="仿宋_GB2312" w:hAnsi="仿宋_GB2312" w:eastAsia="仿宋_GB2312" w:cs="仿宋_GB2312"/>
      <w:kern w:val="0"/>
      <w:sz w:val="24"/>
    </w:rPr>
  </w:style>
  <w:style w:type="paragraph" w:customStyle="1" w:styleId="39">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customStyle="1" w:styleId="40">
    <w:name w:val="p0"/>
    <w:basedOn w:val="1"/>
    <w:qFormat/>
    <w:uiPriority w:val="0"/>
    <w:pPr>
      <w:widowControl/>
    </w:pPr>
    <w:rPr>
      <w:rFonts w:ascii="Times New Roman" w:hAnsi="Times New Roman" w:eastAsia="宋体" w:cs="Times New Roman"/>
      <w:kern w:val="0"/>
      <w:szCs w:val="21"/>
    </w:rPr>
  </w:style>
  <w:style w:type="paragraph" w:customStyle="1" w:styleId="41">
    <w:name w:val="BodyText1I2"/>
    <w:basedOn w:val="1"/>
    <w:next w:val="1"/>
    <w:qFormat/>
    <w:uiPriority w:val="99"/>
    <w:pPr>
      <w:ind w:firstLine="420" w:firstLineChars="200"/>
    </w:pPr>
  </w:style>
  <w:style w:type="paragraph" w:customStyle="1" w:styleId="42">
    <w:name w:val="无间隔1"/>
    <w:basedOn w:val="1"/>
    <w:qFormat/>
    <w:uiPriority w:val="0"/>
    <w:pPr>
      <w:spacing w:line="400" w:lineRule="exact"/>
    </w:pPr>
    <w:rPr>
      <w:rFonts w:ascii="Times New Roman" w:hAnsi="Times New Roman"/>
      <w:sz w:val="24"/>
    </w:rPr>
  </w:style>
  <w:style w:type="paragraph" w:customStyle="1" w:styleId="43">
    <w:name w:val="Body text|1"/>
    <w:basedOn w:val="1"/>
    <w:qFormat/>
    <w:uiPriority w:val="0"/>
    <w:pPr>
      <w:widowControl w:val="0"/>
      <w:shd w:val="clear" w:color="auto" w:fill="auto"/>
      <w:spacing w:line="396" w:lineRule="auto"/>
      <w:ind w:firstLine="400"/>
    </w:pPr>
    <w:rPr>
      <w:rFonts w:ascii="宋体" w:hAnsi="宋体" w:eastAsia="宋体" w:cs="宋体"/>
      <w:sz w:val="30"/>
      <w:szCs w:val="30"/>
      <w:u w:val="none"/>
      <w:shd w:val="clear" w:color="auto" w:fill="auto"/>
      <w:lang w:val="zh-TW" w:eastAsia="zh-TW" w:bidi="zh-TW"/>
    </w:rPr>
  </w:style>
  <w:style w:type="paragraph" w:customStyle="1" w:styleId="44">
    <w:name w:val="Char"/>
    <w:basedOn w:val="1"/>
    <w:qFormat/>
    <w:uiPriority w:val="0"/>
    <w:pPr>
      <w:spacing w:line="520" w:lineRule="exact"/>
      <w:ind w:firstLine="200" w:firstLineChars="200"/>
    </w:pPr>
    <w:rPr>
      <w:rFonts w:ascii="Times New Roman" w:hAnsi="Times New Roman" w:eastAsia="宋体" w:cs="Times New Roman"/>
      <w:sz w:val="28"/>
      <w:szCs w:val="20"/>
    </w:rPr>
  </w:style>
  <w:style w:type="character" w:customStyle="1" w:styleId="45">
    <w:name w:val="fontstyle01"/>
    <w:qFormat/>
    <w:uiPriority w:val="0"/>
    <w:rPr>
      <w:rFonts w:ascii="仿宋_GB2312" w:hAnsi="仿宋_GB2312" w:eastAsia="仿宋_GB2312" w:cs="仿宋_GB2312"/>
      <w:color w:val="000000"/>
      <w:sz w:val="32"/>
      <w:szCs w:val="32"/>
    </w:rPr>
  </w:style>
  <w:style w:type="paragraph" w:customStyle="1" w:styleId="46">
    <w:name w:val="公文正文"/>
    <w:basedOn w:val="1"/>
    <w:qFormat/>
    <w:uiPriority w:val="0"/>
    <w:rPr>
      <w:rFonts w:eastAsia="仿宋_GB2312"/>
      <w:sz w:val="32"/>
      <w:szCs w:val="30"/>
    </w:rPr>
  </w:style>
  <w:style w:type="character" w:customStyle="1" w:styleId="47">
    <w:name w:val="样式 仿宋_GB2312"/>
    <w:basedOn w:val="23"/>
    <w:qFormat/>
    <w:uiPriority w:val="0"/>
    <w:rPr>
      <w:rFonts w:ascii="仿宋_GB2312" w:hAnsi="仿宋_GB2312"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GI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批复.wpt</Template>
  <Company>abc</Company>
  <Pages>4</Pages>
  <Words>1479</Words>
  <Characters>1565</Characters>
  <Lines>0</Lines>
  <Paragraphs>0</Paragraphs>
  <TotalTime>21.3333333333333</TotalTime>
  <ScaleCrop>false</ScaleCrop>
  <LinksUpToDate>false</LinksUpToDate>
  <CharactersWithSpaces>1687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2012-05-23T10:31:23Z</dcterms:created>
  <dc:creator>pc</dc:creator>
  <cp:lastModifiedBy>大绵羊</cp:lastModifiedBy>
  <cp:lastPrinted>2022-11-20T14:55:43Z</cp:lastPrinted>
  <dcterms:modified xsi:type="dcterms:W3CDTF">2022-12-02T04:11:05Z</dcterms:modified>
  <dc:title>特　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9D2228A6088144AA8FBC30B04AA0D42C</vt:lpwstr>
  </property>
</Properties>
</file>