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涉企收费自</w:t>
      </w:r>
      <w:bookmarkStart w:id="0" w:name="_GoBack"/>
      <w:bookmarkEnd w:id="0"/>
      <w:r>
        <w:rPr>
          <w:rFonts w:hint="eastAsia" w:ascii="仿宋_GB2312" w:hAnsi="宋体" w:eastAsia="仿宋_GB2312"/>
          <w:b/>
          <w:sz w:val="44"/>
          <w:szCs w:val="44"/>
        </w:rPr>
        <w:t>查自纠情况表</w:t>
      </w:r>
    </w:p>
    <w:p>
      <w:pPr>
        <w:spacing w:line="36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tbl>
      <w:tblPr>
        <w:tblStyle w:val="3"/>
        <w:tblW w:w="14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900"/>
        <w:gridCol w:w="1260"/>
        <w:gridCol w:w="1260"/>
        <w:gridCol w:w="1440"/>
        <w:gridCol w:w="1620"/>
        <w:gridCol w:w="900"/>
        <w:gridCol w:w="900"/>
        <w:gridCol w:w="1440"/>
        <w:gridCol w:w="1440"/>
        <w:gridCol w:w="720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收费主体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单位性质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收费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收费标准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收费性质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收费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依据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服务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内容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2019年收费总额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是否涉嫌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违规收费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是否公示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行政事业性收费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经营服务性收费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是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否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□政府定价</w:t>
            </w:r>
          </w:p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□政府指导价</w:t>
            </w:r>
          </w:p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□市场调节价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        ）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说明：1.“收费主体”填写收费单位名称。</w:t>
      </w:r>
    </w:p>
    <w:p>
      <w:pPr>
        <w:spacing w:line="340" w:lineRule="exact"/>
        <w:ind w:left="958" w:leftChars="342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2.“单位性质”填写收费单位性质，如行政机关、事业单位（公益一类、公益二类）、行业协会商会、中介机构、国有企业或其他企业。</w:t>
      </w:r>
    </w:p>
    <w:p>
      <w:pPr>
        <w:spacing w:line="34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3.“收费标准”有分档标准的，填写价格区间。</w:t>
      </w:r>
    </w:p>
    <w:p>
      <w:pPr>
        <w:spacing w:line="340" w:lineRule="exact"/>
        <w:ind w:left="958" w:leftChars="342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4.“收费性质”属于市场调节价的，在括号内标明收费类型（行政审批中介服务收费、政府部门要求企业接受第三方服务收费、行业协会商会收费或其他收费）。</w:t>
      </w:r>
    </w:p>
    <w:p>
      <w:pPr>
        <w:spacing w:line="340" w:lineRule="exact"/>
        <w:ind w:left="958" w:leftChars="342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5.“收费依据”属于行政事业性收费或经营服务性收费中政府定价、政府指导价的、标明定价文件名称和文号；属于政府部门要求企业接受第三方服务的，标明法律法规名称和具体条款。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57CE1"/>
    <w:rsid w:val="464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2020-05-26T08:11:00Z</dcterms:created>
  <dc:creator>黄思宇</dc:creator>
  <cp:lastModifiedBy>黄思宇</cp:lastModifiedBy>
  <dcterms:modified xsi:type="dcterms:W3CDTF">2020-05-26T08:12:22Z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