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exact"/>
        <w:jc w:val="left"/>
        <w:rPr>
          <w:rFonts w:ascii="黑体" w:hAnsi="黑体" w:eastAsia="黑体" w:cs="黑体"/>
          <w:bCs/>
          <w:sz w:val="32"/>
          <w:szCs w:val="28"/>
        </w:rPr>
      </w:pPr>
      <w:r>
        <w:rPr>
          <w:rFonts w:hint="eastAsia" w:ascii="黑体" w:hAnsi="黑体" w:eastAsia="黑体"/>
          <w:b/>
          <w:sz w:val="32"/>
          <w:szCs w:val="32"/>
        </w:rPr>
        <w:t>附件</w:t>
      </w:r>
      <w:r>
        <w:rPr>
          <w:rFonts w:ascii="黑体" w:hAnsi="黑体" w:eastAsia="黑体"/>
          <w:b/>
          <w:sz w:val="32"/>
          <w:szCs w:val="32"/>
        </w:rPr>
        <w:t>1</w:t>
      </w:r>
      <w:r>
        <w:rPr>
          <w:rFonts w:hint="eastAsia" w:ascii="黑体" w:hAnsi="黑体" w:eastAsia="黑体"/>
          <w:b/>
          <w:sz w:val="32"/>
          <w:szCs w:val="32"/>
        </w:rPr>
        <w:t>：</w:t>
      </w:r>
      <w:r>
        <w:rPr>
          <w:rFonts w:hint="eastAsia" w:ascii="黑体" w:hAnsi="黑体" w:eastAsia="黑体" w:cs="黑体"/>
          <w:bCs/>
          <w:sz w:val="32"/>
          <w:szCs w:val="28"/>
        </w:rPr>
        <w:t>科技成果</w:t>
      </w:r>
    </w:p>
    <w:p>
      <w:pPr>
        <w:spacing w:line="400" w:lineRule="exact"/>
        <w:jc w:val="left"/>
        <w:rPr>
          <w:rFonts w:ascii="黑体" w:hAnsi="黑体" w:eastAsia="黑体" w:cs="黑体"/>
          <w:bCs/>
          <w:sz w:val="32"/>
          <w:szCs w:val="28"/>
        </w:rPr>
      </w:pPr>
      <w:r>
        <w:rPr>
          <w:rFonts w:hint="eastAsia" w:ascii="黑体" w:hAnsi="黑体" w:eastAsia="黑体" w:cs="黑体"/>
          <w:bCs/>
          <w:sz w:val="32"/>
          <w:szCs w:val="28"/>
        </w:rPr>
        <w:t>一、福州大学科技成果（</w:t>
      </w:r>
      <w:r>
        <w:rPr>
          <w:rFonts w:ascii="黑体" w:hAnsi="黑体" w:eastAsia="黑体" w:cs="黑体"/>
          <w:bCs/>
          <w:sz w:val="32"/>
          <w:szCs w:val="28"/>
        </w:rPr>
        <w:t>6</w:t>
      </w:r>
      <w:r>
        <w:rPr>
          <w:rFonts w:hint="eastAsia" w:ascii="黑体" w:hAnsi="黑体" w:eastAsia="黑体" w:cs="黑体"/>
          <w:bCs/>
          <w:sz w:val="32"/>
          <w:szCs w:val="28"/>
        </w:rPr>
        <w:t>项）</w:t>
      </w:r>
    </w:p>
    <w:p>
      <w:pPr>
        <w:spacing w:line="360" w:lineRule="auto"/>
        <w:rPr>
          <w:rFonts w:ascii="仿宋" w:hAnsi="仿宋" w:eastAsia="仿宋"/>
          <w:b/>
          <w:sz w:val="24"/>
        </w:rPr>
      </w:pPr>
      <w:r>
        <w:rPr>
          <w:rFonts w:hint="eastAsia" w:ascii="仿宋" w:hAnsi="仿宋" w:eastAsia="仿宋"/>
          <w:b/>
          <w:sz w:val="24"/>
        </w:rPr>
        <w:t>（一）氮化碳光催化分解水制氢</w:t>
      </w:r>
    </w:p>
    <w:p>
      <w:pPr>
        <w:spacing w:line="360" w:lineRule="auto"/>
        <w:ind w:firstLine="2520" w:firstLineChars="1050"/>
        <w:rPr>
          <w:rFonts w:ascii="仿宋" w:hAnsi="仿宋" w:eastAsia="仿宋"/>
          <w:sz w:val="24"/>
        </w:rPr>
      </w:pPr>
      <w:r>
        <w:rPr>
          <w:rFonts w:ascii="仿宋" w:hAnsi="仿宋" w:eastAsia="仿宋"/>
          <w:sz w:val="24"/>
        </w:rPr>
        <w:t>——</w:t>
      </w:r>
      <w:r>
        <w:rPr>
          <w:rFonts w:hint="eastAsia" w:ascii="仿宋" w:hAnsi="仿宋" w:eastAsia="仿宋"/>
          <w:sz w:val="24"/>
        </w:rPr>
        <w:t>王心晨教授</w:t>
      </w:r>
    </w:p>
    <w:p>
      <w:pPr>
        <w:spacing w:line="360" w:lineRule="auto"/>
        <w:ind w:firstLine="1200" w:firstLineChars="500"/>
        <w:rPr>
          <w:rFonts w:ascii="仿宋" w:hAnsi="仿宋" w:eastAsia="仿宋"/>
          <w:sz w:val="24"/>
        </w:rPr>
      </w:pPr>
      <w:r>
        <w:rPr>
          <w:rFonts w:hint="eastAsia" w:ascii="仿宋" w:hAnsi="仿宋" w:eastAsia="仿宋"/>
          <w:sz w:val="24"/>
        </w:rPr>
        <w:t>福州大学能源与环境光催化国家重点实验室</w:t>
      </w:r>
    </w:p>
    <w:p>
      <w:pPr>
        <w:spacing w:line="360" w:lineRule="auto"/>
        <w:ind w:firstLine="1200" w:firstLineChars="500"/>
        <w:rPr>
          <w:rFonts w:ascii="仿宋" w:hAnsi="仿宋" w:eastAsia="仿宋"/>
          <w:sz w:val="24"/>
        </w:rPr>
      </w:pPr>
      <w:r>
        <w:rPr>
          <w:rFonts w:hint="eastAsia" w:ascii="仿宋" w:hAnsi="仿宋" w:eastAsia="仿宋"/>
          <w:sz w:val="24"/>
        </w:rPr>
        <w:t>福州大学国家环境光催化工程技术研究中心</w:t>
      </w:r>
    </w:p>
    <w:p>
      <w:pPr>
        <w:spacing w:line="360" w:lineRule="auto"/>
        <w:ind w:firstLine="480" w:firstLineChars="200"/>
        <w:rPr>
          <w:rFonts w:ascii="仿宋" w:hAnsi="仿宋" w:eastAsia="仿宋"/>
          <w:sz w:val="24"/>
        </w:rPr>
      </w:pPr>
      <w:r>
        <w:rPr>
          <w:rFonts w:hint="eastAsia" w:ascii="仿宋" w:hAnsi="仿宋" w:eastAsia="仿宋"/>
          <w:sz w:val="24"/>
        </w:rPr>
        <w:t>光催化全分解水制氢以半导体光催化剂为核心，可将低密度的太阳能转化为高密度、易存储的化学能（氢能），且整个过程没有碳排放，是太阳能转化利用的一种清洁方式，也是未来实现规模化、可持续“绿氢”生产的理想途径之一。</w:t>
      </w:r>
      <w:r>
        <w:rPr>
          <w:rFonts w:ascii="仿宋" w:hAnsi="仿宋" w:eastAsia="仿宋"/>
          <w:sz w:val="24"/>
        </w:rPr>
        <w:t>2009</w:t>
      </w:r>
      <w:r>
        <w:rPr>
          <w:rFonts w:hint="eastAsia" w:ascii="仿宋" w:hAnsi="仿宋" w:eastAsia="仿宋"/>
          <w:sz w:val="24"/>
        </w:rPr>
        <w:t>年，福州大学联合德国马普所、日本东京大学科研团队发现了非金属基石墨氮化碳聚合物半导体材料可以用于光催化分解水制氢，开辟了光催化材料研究的新领域（成果发表在</w:t>
      </w:r>
      <w:r>
        <w:rPr>
          <w:rFonts w:ascii="仿宋" w:hAnsi="仿宋" w:eastAsia="仿宋"/>
          <w:sz w:val="24"/>
        </w:rPr>
        <w:t>Nature Materials</w:t>
      </w:r>
      <w:r>
        <w:rPr>
          <w:rFonts w:hint="eastAsia" w:ascii="仿宋" w:hAnsi="仿宋" w:eastAsia="仿宋"/>
          <w:sz w:val="24"/>
        </w:rPr>
        <w:t>）。石墨相氮化碳是一种不含金属组分的聚合物半导体材料，原料廉价、制备工艺简单、可调控性强、易于大规模生产，其理论</w:t>
      </w:r>
      <w:r>
        <w:rPr>
          <w:rFonts w:ascii="仿宋" w:hAnsi="仿宋" w:eastAsia="仿宋"/>
          <w:sz w:val="24"/>
        </w:rPr>
        <w:t>STH</w:t>
      </w:r>
      <w:r>
        <w:rPr>
          <w:rFonts w:hint="eastAsia" w:ascii="仿宋" w:hAnsi="仿宋" w:eastAsia="仿宋"/>
          <w:sz w:val="24"/>
        </w:rPr>
        <w:t>高达</w:t>
      </w:r>
      <w:r>
        <w:rPr>
          <w:rFonts w:ascii="仿宋" w:hAnsi="仿宋" w:eastAsia="仿宋"/>
          <w:sz w:val="24"/>
        </w:rPr>
        <w:t>30 %</w:t>
      </w:r>
      <w:r>
        <w:rPr>
          <w:rFonts w:hint="eastAsia" w:ascii="仿宋" w:hAnsi="仿宋" w:eastAsia="仿宋"/>
          <w:sz w:val="24"/>
        </w:rPr>
        <w:t>以上，超过商业化所要求的</w:t>
      </w:r>
      <w:r>
        <w:rPr>
          <w:rFonts w:ascii="仿宋" w:hAnsi="仿宋" w:eastAsia="仿宋"/>
          <w:sz w:val="24"/>
        </w:rPr>
        <w:t>10%</w:t>
      </w:r>
      <w:r>
        <w:rPr>
          <w:rFonts w:hint="eastAsia" w:ascii="仿宋" w:hAnsi="仿宋" w:eastAsia="仿宋"/>
          <w:sz w:val="24"/>
        </w:rPr>
        <w:t>，为规模化光解水产氢奠定了材料基础，作为光解水制氢明星材料展现光明发展前景。目前我们在实验室可以实现</w:t>
      </w:r>
      <w:r>
        <w:rPr>
          <w:rFonts w:ascii="仿宋" w:hAnsi="仿宋" w:eastAsia="仿宋"/>
          <w:sz w:val="24"/>
        </w:rPr>
        <w:t>20-30%</w:t>
      </w:r>
      <w:r>
        <w:rPr>
          <w:rFonts w:hint="eastAsia" w:ascii="仿宋" w:hAnsi="仿宋" w:eastAsia="仿宋"/>
          <w:sz w:val="24"/>
        </w:rPr>
        <w:t>的量子效率，且很有希望进一步提高量子效率数值，下一步将重点发展氮化碳光催化分解水制氢平板化研究，为真正实现“绿氢”制备奠定基础。</w:t>
      </w:r>
    </w:p>
    <w:p>
      <w:pPr>
        <w:pStyle w:val="7"/>
        <w:ind w:left="0" w:leftChars="0" w:firstLine="0" w:firstLineChars="0"/>
        <w:jc w:val="center"/>
        <w:rPr>
          <w:rFonts w:ascii="Times New Roman" w:hAnsi="Times New Roman"/>
        </w:rPr>
      </w:pPr>
      <w:r>
        <w:pict>
          <v:shape id="文本框 10" o:spid="_x0000_s1026" o:spt="202" type="#_x0000_t202" style="position:absolute;left:0pt;margin-left:4.9pt;margin-top:6.75pt;height:139.55pt;width:31.8pt;z-index:251656192;mso-width-relative:page;mso-height-relative:page;" filled="f" stroked="f" coordsize="21600,21600">
            <v:path/>
            <v:fill on="f" focussize="0,0"/>
            <v:stroke on="f" joinstyle="miter"/>
            <v:imagedata o:title=""/>
            <o:lock v:ext="edit"/>
            <v:textbox style="mso-fit-shape-to-text:t;">
              <w:txbxContent>
                <w:p>
                  <w:pPr>
                    <w:rPr>
                      <w:b/>
                      <w:bCs/>
                      <w:sz w:val="22"/>
                      <w:szCs w:val="24"/>
                    </w:rPr>
                  </w:pPr>
                  <w:r>
                    <w:rPr>
                      <w:b/>
                      <w:bCs/>
                      <w:sz w:val="22"/>
                      <w:szCs w:val="24"/>
                    </w:rPr>
                    <w:t>a</w:t>
                  </w:r>
                  <w:r>
                    <w:rPr>
                      <w:rFonts w:hint="eastAsia"/>
                      <w:b/>
                      <w:bCs/>
                      <w:sz w:val="22"/>
                      <w:szCs w:val="24"/>
                    </w:rPr>
                    <w:t>）</w:t>
                  </w:r>
                </w:p>
              </w:txbxContent>
            </v:textbox>
          </v:shape>
        </w:pict>
      </w:r>
      <w:r>
        <w:pict>
          <v:shape id="文本框 9" o:spid="_x0000_s1027" o:spt="202" type="#_x0000_t202" style="position:absolute;left:0pt;margin-left:193.8pt;margin-top:8.6pt;height:139.55pt;width:29.9pt;z-index:251657216;mso-width-relative:page;mso-height-relative:page;" filled="f" stroked="f" coordsize="21600,21600">
            <v:path/>
            <v:fill on="f" focussize="0,0"/>
            <v:stroke on="f" joinstyle="miter"/>
            <v:imagedata o:title=""/>
            <o:lock v:ext="edit"/>
            <v:textbox style="mso-fit-shape-to-text:t;">
              <w:txbxContent>
                <w:p>
                  <w:pPr>
                    <w:rPr>
                      <w:b/>
                      <w:bCs/>
                      <w:sz w:val="22"/>
                      <w:szCs w:val="24"/>
                    </w:rPr>
                  </w:pPr>
                  <w:r>
                    <w:rPr>
                      <w:b/>
                      <w:bCs/>
                      <w:sz w:val="22"/>
                      <w:szCs w:val="24"/>
                    </w:rPr>
                    <w:t>b)</w:t>
                  </w:r>
                </w:p>
              </w:txbxContent>
            </v:textbox>
          </v:shape>
        </w:pict>
      </w:r>
      <w:r>
        <w:rPr>
          <w:rFonts w:ascii="Times New Roman" w:hAnsi="Times New Roman"/>
        </w:rPr>
        <w:drawing>
          <wp:inline distT="0" distB="0" distL="114300" distR="114300">
            <wp:extent cx="1895475" cy="1057275"/>
            <wp:effectExtent l="0" t="0" r="9525" b="9525"/>
            <wp:docPr id="1" name="图片 1" descr="图表, 散点图&#10;&#10;&#10;&#10;&#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图表, 散点图&#10;&#10;&#10;&#10;&#10;&#10;描述已自动生成"/>
                    <pic:cNvPicPr>
                      <a:picLocks noChangeAspect="true"/>
                    </pic:cNvPicPr>
                  </pic:nvPicPr>
                  <pic:blipFill>
                    <a:blip r:embed="rId5"/>
                    <a:srcRect b="44583"/>
                    <a:stretch>
                      <a:fillRect/>
                    </a:stretch>
                  </pic:blipFill>
                  <pic:spPr>
                    <a:xfrm>
                      <a:off x="0" y="0"/>
                      <a:ext cx="1895475" cy="1057275"/>
                    </a:xfrm>
                    <a:prstGeom prst="rect">
                      <a:avLst/>
                    </a:prstGeom>
                    <a:noFill/>
                    <a:ln w="9525">
                      <a:noFill/>
                    </a:ln>
                  </pic:spPr>
                </pic:pic>
              </a:graphicData>
            </a:graphic>
          </wp:inline>
        </w:drawing>
      </w:r>
      <w:r>
        <w:rPr>
          <w:rFonts w:ascii="Times New Roman" w:hAnsi="Times New Roman"/>
        </w:rPr>
        <w:t xml:space="preserve">          </w:t>
      </w:r>
      <w:r>
        <w:rPr>
          <w:rFonts w:ascii="Times New Roman" w:hAnsi="Times New Roman"/>
        </w:rPr>
        <w:drawing>
          <wp:inline distT="0" distB="0" distL="114300" distR="114300">
            <wp:extent cx="2514600" cy="1209675"/>
            <wp:effectExtent l="0" t="0" r="0" b="9525"/>
            <wp:docPr id="3" name="图片 2" descr="图示&#10;&#10;&#10;&#10;&#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 descr="图示&#10;&#10;&#10;&#10;&#10;&#10;描述已自动生成"/>
                    <pic:cNvPicPr>
                      <a:picLocks noChangeAspect="true"/>
                    </pic:cNvPicPr>
                  </pic:nvPicPr>
                  <pic:blipFill>
                    <a:blip r:embed="rId6"/>
                    <a:srcRect r="-53"/>
                    <a:stretch>
                      <a:fillRect/>
                    </a:stretch>
                  </pic:blipFill>
                  <pic:spPr>
                    <a:xfrm>
                      <a:off x="0" y="0"/>
                      <a:ext cx="2514600" cy="1209675"/>
                    </a:xfrm>
                    <a:prstGeom prst="rect">
                      <a:avLst/>
                    </a:prstGeom>
                    <a:noFill/>
                    <a:ln w="9525">
                      <a:noFill/>
                    </a:ln>
                  </pic:spPr>
                </pic:pic>
              </a:graphicData>
            </a:graphic>
          </wp:inline>
        </w:drawing>
      </w:r>
    </w:p>
    <w:p>
      <w:pPr>
        <w:pStyle w:val="7"/>
        <w:ind w:left="0" w:leftChars="0" w:firstLine="0" w:firstLineChars="0"/>
        <w:jc w:val="center"/>
        <w:rPr>
          <w:rFonts w:ascii="Times New Roman" w:hAnsi="Times New Roman"/>
        </w:rPr>
      </w:pPr>
      <w:r>
        <w:pict>
          <v:shape id="文本框 8" o:spid="_x0000_s1028" o:spt="202" type="#_x0000_t202" style="position:absolute;left:0pt;margin-left:191.85pt;margin-top:6.55pt;height:139.55pt;width:37.4pt;mso-position-horizontal-relative:margin;z-index:251659264;mso-width-relative:page;mso-height-relative:page;" filled="f" stroked="f" coordsize="21600,21600">
            <v:path/>
            <v:fill on="f" focussize="0,0"/>
            <v:stroke on="f" joinstyle="miter"/>
            <v:imagedata o:title=""/>
            <o:lock v:ext="edit"/>
            <v:textbox style="mso-fit-shape-to-text:t;">
              <w:txbxContent>
                <w:p>
                  <w:pPr>
                    <w:rPr>
                      <w:b/>
                      <w:bCs/>
                      <w:sz w:val="22"/>
                      <w:szCs w:val="24"/>
                    </w:rPr>
                  </w:pPr>
                  <w:r>
                    <w:rPr>
                      <w:b/>
                      <w:bCs/>
                      <w:sz w:val="22"/>
                      <w:szCs w:val="24"/>
                    </w:rPr>
                    <w:t>d)</w:t>
                  </w:r>
                </w:p>
              </w:txbxContent>
            </v:textbox>
          </v:shape>
        </w:pict>
      </w:r>
      <w:r>
        <w:pict>
          <v:shape id="文本框 7" o:spid="_x0000_s1029" o:spt="202" type="#_x0000_t202" style="position:absolute;left:0pt;margin-top:6.55pt;height:139.55pt;width:27.6pt;mso-position-horizontal:left;mso-position-horizontal-relative:margin;z-index:251658240;mso-width-relative:page;mso-height-relative:page;" filled="f" stroked="f" coordsize="21600,21600">
            <v:path/>
            <v:fill on="f" focussize="0,0"/>
            <v:stroke on="f" joinstyle="miter"/>
            <v:imagedata o:title=""/>
            <o:lock v:ext="edit"/>
            <v:textbox style="mso-fit-shape-to-text:t;">
              <w:txbxContent>
                <w:p>
                  <w:pPr>
                    <w:rPr>
                      <w:b/>
                      <w:bCs/>
                      <w:sz w:val="22"/>
                      <w:szCs w:val="24"/>
                    </w:rPr>
                  </w:pPr>
                  <w:r>
                    <w:rPr>
                      <w:b/>
                      <w:bCs/>
                      <w:sz w:val="22"/>
                      <w:szCs w:val="24"/>
                    </w:rPr>
                    <w:t>c)</w:t>
                  </w:r>
                </w:p>
              </w:txbxContent>
            </v:textbox>
          </v:shape>
        </w:pict>
      </w:r>
      <w:r>
        <w:rPr>
          <w:rFonts w:ascii="Times New Roman" w:hAnsi="Times New Roman"/>
        </w:rPr>
        <w:drawing>
          <wp:inline distT="0" distB="0" distL="114300" distR="114300">
            <wp:extent cx="2266950" cy="1800225"/>
            <wp:effectExtent l="0" t="0" r="0" b="9525"/>
            <wp:docPr id="2" name="图片 3" descr="图表, 折线图&#10;&#10;&#10;&#10;&#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3" descr="图表, 折线图&#10;&#10;&#10;&#10;&#10;&#10;描述已自动生成"/>
                    <pic:cNvPicPr>
                      <a:picLocks noChangeAspect="true"/>
                    </pic:cNvPicPr>
                  </pic:nvPicPr>
                  <pic:blipFill>
                    <a:blip r:embed="rId7"/>
                    <a:srcRect t="4012"/>
                    <a:stretch>
                      <a:fillRect/>
                    </a:stretch>
                  </pic:blipFill>
                  <pic:spPr>
                    <a:xfrm>
                      <a:off x="0" y="0"/>
                      <a:ext cx="2266950" cy="1800225"/>
                    </a:xfrm>
                    <a:prstGeom prst="rect">
                      <a:avLst/>
                    </a:prstGeom>
                    <a:noFill/>
                    <a:ln w="9525">
                      <a:noFill/>
                    </a:ln>
                  </pic:spPr>
                </pic:pic>
              </a:graphicData>
            </a:graphic>
          </wp:inline>
        </w:drawing>
      </w:r>
      <w:r>
        <w:rPr>
          <w:rFonts w:ascii="Times New Roman" w:hAnsi="Times New Roman"/>
        </w:rPr>
        <w:t xml:space="preserve">      </w:t>
      </w:r>
      <w:r>
        <w:rPr>
          <w:rFonts w:ascii="Times New Roman" w:hAnsi="Times New Roman"/>
        </w:rPr>
        <w:drawing>
          <wp:inline distT="0" distB="0" distL="114300" distR="114300">
            <wp:extent cx="2466975" cy="1609725"/>
            <wp:effectExtent l="0" t="0" r="9525" b="9525"/>
            <wp:docPr id="4" name="图片 4" descr="图形用户界面, 图示&#10;&#10;&#10;&#10;&#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图形用户界面, 图示&#10;&#10;&#10;&#10;&#10;&#10;描述已自动生成"/>
                    <pic:cNvPicPr>
                      <a:picLocks noChangeAspect="true"/>
                    </pic:cNvPicPr>
                  </pic:nvPicPr>
                  <pic:blipFill>
                    <a:blip r:embed="rId8"/>
                    <a:srcRect l="5978" t="45461" r="11211"/>
                    <a:stretch>
                      <a:fillRect/>
                    </a:stretch>
                  </pic:blipFill>
                  <pic:spPr>
                    <a:xfrm>
                      <a:off x="0" y="0"/>
                      <a:ext cx="2466975" cy="1609725"/>
                    </a:xfrm>
                    <a:prstGeom prst="rect">
                      <a:avLst/>
                    </a:prstGeom>
                    <a:noFill/>
                    <a:ln w="9525">
                      <a:noFill/>
                    </a:ln>
                  </pic:spPr>
                </pic:pic>
              </a:graphicData>
            </a:graphic>
          </wp:inline>
        </w:drawing>
      </w:r>
    </w:p>
    <w:p>
      <w:pPr>
        <w:pStyle w:val="7"/>
        <w:ind w:left="0" w:leftChars="0" w:firstLine="0" w:firstLineChars="0"/>
        <w:jc w:val="center"/>
        <w:rPr>
          <w:rFonts w:ascii="Times New Roman" w:hAnsi="Times New Roman"/>
        </w:rPr>
      </w:pPr>
      <w:r>
        <w:rPr>
          <w:rFonts w:hint="eastAsia" w:ascii="Times New Roman" w:hAnsi="Times New Roman"/>
        </w:rPr>
        <w:t>图</w:t>
      </w:r>
      <w:r>
        <w:rPr>
          <w:rFonts w:ascii="Times New Roman" w:hAnsi="Times New Roman"/>
          <w:b/>
          <w:bCs/>
        </w:rPr>
        <w:t xml:space="preserve">1. </w:t>
      </w:r>
      <w:r>
        <w:rPr>
          <w:rFonts w:ascii="Times New Roman" w:hAnsi="Times New Roman"/>
        </w:rPr>
        <w:t xml:space="preserve">a) </w:t>
      </w:r>
      <w:r>
        <w:rPr>
          <w:rFonts w:hint="eastAsia" w:ascii="Times New Roman" w:hAnsi="Times New Roman"/>
        </w:rPr>
        <w:t>氮化碳分子结构示意图，</w:t>
      </w:r>
      <w:r>
        <w:rPr>
          <w:rFonts w:ascii="Times New Roman" w:hAnsi="Times New Roman"/>
        </w:rPr>
        <w:t xml:space="preserve">b) </w:t>
      </w:r>
      <w:r>
        <w:rPr>
          <w:rFonts w:hint="eastAsia" w:ascii="Times New Roman" w:hAnsi="Times New Roman"/>
        </w:rPr>
        <w:t>氮化碳光吸收性质，</w:t>
      </w:r>
      <w:r>
        <w:rPr>
          <w:rFonts w:ascii="Times New Roman" w:hAnsi="Times New Roman"/>
        </w:rPr>
        <w:t xml:space="preserve">c) </w:t>
      </w:r>
      <w:r>
        <w:rPr>
          <w:rFonts w:hint="eastAsia" w:ascii="Times New Roman" w:hAnsi="Times New Roman"/>
        </w:rPr>
        <w:t>光吸收边与</w:t>
      </w:r>
      <w:r>
        <w:rPr>
          <w:rFonts w:ascii="Times New Roman" w:hAnsi="Times New Roman"/>
        </w:rPr>
        <w:t>STH</w:t>
      </w:r>
      <w:r>
        <w:rPr>
          <w:rFonts w:hint="eastAsia" w:ascii="Times New Roman" w:hAnsi="Times New Roman"/>
        </w:rPr>
        <w:t>之间的关系，</w:t>
      </w:r>
      <w:r>
        <w:rPr>
          <w:rFonts w:ascii="Times New Roman" w:hAnsi="Times New Roman"/>
        </w:rPr>
        <w:t>d) 100 m</w:t>
      </w:r>
      <w:r>
        <w:rPr>
          <w:rFonts w:ascii="Times New Roman" w:hAnsi="Times New Roman"/>
          <w:vertAlign w:val="superscript"/>
        </w:rPr>
        <w:t>2</w:t>
      </w:r>
      <w:r>
        <w:rPr>
          <w:rFonts w:hint="eastAsia" w:ascii="Times New Roman" w:hAnsi="Times New Roman"/>
        </w:rPr>
        <w:t>面板反应器阵列。</w:t>
      </w:r>
    </w:p>
    <w:p>
      <w:pPr>
        <w:spacing w:line="360" w:lineRule="auto"/>
        <w:rPr>
          <w:rFonts w:ascii="仿宋" w:hAnsi="仿宋" w:eastAsia="仿宋"/>
          <w:b/>
          <w:sz w:val="24"/>
        </w:rPr>
      </w:pPr>
      <w:r>
        <w:rPr>
          <w:rFonts w:hint="eastAsia" w:ascii="仿宋" w:hAnsi="仿宋" w:eastAsia="仿宋"/>
          <w:b/>
          <w:sz w:val="24"/>
        </w:rPr>
        <w:t>（二）含氟医药分子及高分子材料</w:t>
      </w:r>
    </w:p>
    <w:p>
      <w:pPr>
        <w:spacing w:line="360" w:lineRule="auto"/>
        <w:ind w:firstLine="3120" w:firstLineChars="1300"/>
        <w:rPr>
          <w:rFonts w:ascii="仿宋" w:hAnsi="仿宋" w:eastAsia="仿宋"/>
          <w:sz w:val="24"/>
        </w:rPr>
      </w:pPr>
      <w:r>
        <w:rPr>
          <w:rFonts w:ascii="仿宋" w:hAnsi="仿宋" w:eastAsia="仿宋"/>
          <w:sz w:val="24"/>
        </w:rPr>
        <w:t>——</w:t>
      </w:r>
      <w:r>
        <w:rPr>
          <w:rFonts w:hint="eastAsia" w:ascii="仿宋" w:hAnsi="仿宋" w:eastAsia="仿宋"/>
          <w:sz w:val="24"/>
        </w:rPr>
        <w:t>王心晨教授</w:t>
      </w:r>
    </w:p>
    <w:p>
      <w:pPr>
        <w:spacing w:line="360" w:lineRule="auto"/>
        <w:jc w:val="center"/>
        <w:rPr>
          <w:rFonts w:ascii="仿宋" w:hAnsi="仿宋" w:eastAsia="仿宋"/>
          <w:sz w:val="24"/>
        </w:rPr>
      </w:pPr>
      <w:r>
        <w:rPr>
          <w:rFonts w:hint="eastAsia" w:ascii="仿宋" w:hAnsi="仿宋" w:eastAsia="仿宋"/>
          <w:sz w:val="24"/>
        </w:rPr>
        <w:t>福州大学能源与环境光催化国家重点实验室</w:t>
      </w:r>
    </w:p>
    <w:p>
      <w:pPr>
        <w:spacing w:line="360" w:lineRule="auto"/>
        <w:jc w:val="center"/>
        <w:rPr>
          <w:rFonts w:ascii="仿宋" w:hAnsi="仿宋" w:eastAsia="仿宋"/>
          <w:sz w:val="24"/>
        </w:rPr>
      </w:pPr>
      <w:r>
        <w:rPr>
          <w:rFonts w:hint="eastAsia" w:ascii="仿宋" w:hAnsi="仿宋" w:eastAsia="仿宋"/>
          <w:sz w:val="24"/>
        </w:rPr>
        <w:t>福州大学国家环境光催化工程技术研究中心</w:t>
      </w:r>
    </w:p>
    <w:p>
      <w:pPr>
        <w:spacing w:line="360" w:lineRule="auto"/>
        <w:ind w:firstLine="480" w:firstLineChars="200"/>
        <w:rPr>
          <w:rFonts w:ascii="仿宋" w:hAnsi="仿宋" w:eastAsia="仿宋"/>
          <w:sz w:val="24"/>
        </w:rPr>
      </w:pPr>
      <w:r>
        <w:rPr>
          <w:rFonts w:hint="eastAsia" w:ascii="仿宋" w:hAnsi="仿宋" w:eastAsia="仿宋"/>
          <w:sz w:val="24"/>
        </w:rPr>
        <w:t>含氟医药小分子化合物及高分子材料属于典型的低原材料消耗和高技术附加值类产品，在医药、农药、印染、涂料等领域具有非常广泛的应用。含氟医药产品约占全球市售药品的</w:t>
      </w:r>
      <w:r>
        <w:rPr>
          <w:rFonts w:ascii="仿宋" w:hAnsi="仿宋" w:eastAsia="仿宋"/>
          <w:sz w:val="24"/>
        </w:rPr>
        <w:t>20%</w:t>
      </w:r>
      <w:r>
        <w:rPr>
          <w:rFonts w:hint="eastAsia" w:ascii="仿宋" w:hAnsi="仿宋" w:eastAsia="仿宋"/>
          <w:sz w:val="24"/>
        </w:rPr>
        <w:t>。近年来，有机氟产业（含氟医药产品及聚合物材料等）快速发展，为保障人民健康、促进经济发展发挥了重要作用。然而该类化合物无法从自然界直接得到，目前一般采用过渡金属催化、高温、紫外光照等手段，存在工艺路线复杂、反应选择性低、环境污染严重等难题，开发绿色节能、高原子经济性的催化合成新策略的需求日益迫切。光催化技术可直接利用低能量可见光，从而实现太阳能到化学能的高效转化。我们发展的光催化技术对多种高附加值含氟医药分子或聚合物单体表现出了较好的催化活性、选择性和长效稳定性。相比传统生产工艺，新技术可显著降低成本，提高其经济和社会效益。</w:t>
      </w:r>
    </w:p>
    <w:p>
      <w:pPr>
        <w:spacing w:line="360" w:lineRule="auto"/>
        <w:rPr>
          <w:rFonts w:ascii="仿宋" w:hAnsi="仿宋" w:eastAsia="仿宋"/>
          <w:b/>
          <w:sz w:val="24"/>
        </w:rPr>
      </w:pPr>
      <w:r>
        <w:rPr>
          <w:rFonts w:hint="eastAsia" w:ascii="仿宋" w:hAnsi="仿宋" w:eastAsia="仿宋"/>
          <w:b/>
          <w:sz w:val="24"/>
        </w:rPr>
        <w:t>（三）</w:t>
      </w:r>
      <w:r>
        <w:rPr>
          <w:rFonts w:ascii="仿宋" w:hAnsi="仿宋" w:eastAsia="仿宋"/>
          <w:b/>
          <w:sz w:val="24"/>
        </w:rPr>
        <w:t>CO2</w:t>
      </w:r>
      <w:r>
        <w:rPr>
          <w:rFonts w:hint="eastAsia" w:ascii="仿宋" w:hAnsi="仿宋" w:eastAsia="仿宋"/>
          <w:b/>
          <w:sz w:val="24"/>
        </w:rPr>
        <w:t>等碳基小分子原料转化制备高附加值化学品</w:t>
      </w:r>
    </w:p>
    <w:p>
      <w:pPr>
        <w:spacing w:line="360" w:lineRule="auto"/>
        <w:ind w:firstLine="3600" w:firstLineChars="1500"/>
        <w:rPr>
          <w:rFonts w:ascii="仿宋" w:hAnsi="仿宋" w:eastAsia="仿宋"/>
          <w:sz w:val="24"/>
        </w:rPr>
      </w:pPr>
      <w:r>
        <w:rPr>
          <w:rFonts w:ascii="仿宋" w:hAnsi="仿宋" w:eastAsia="仿宋"/>
          <w:sz w:val="24"/>
        </w:rPr>
        <w:t>——</w:t>
      </w:r>
      <w:r>
        <w:rPr>
          <w:rFonts w:hint="eastAsia" w:ascii="仿宋" w:hAnsi="仿宋" w:eastAsia="仿宋"/>
          <w:sz w:val="24"/>
        </w:rPr>
        <w:t>谭理教授</w:t>
      </w:r>
    </w:p>
    <w:p>
      <w:pPr>
        <w:spacing w:line="360" w:lineRule="auto"/>
        <w:ind w:firstLine="480" w:firstLineChars="200"/>
        <w:rPr>
          <w:rFonts w:ascii="仿宋" w:hAnsi="仿宋" w:eastAsia="仿宋"/>
          <w:sz w:val="24"/>
        </w:rPr>
      </w:pPr>
      <w:r>
        <w:rPr>
          <w:rFonts w:hint="eastAsia" w:ascii="仿宋" w:hAnsi="仿宋" w:eastAsia="仿宋"/>
          <w:sz w:val="24"/>
        </w:rPr>
        <w:t>当前，能源和环境问题引起了社会的广泛关注，他们也是限制和影响人类社会未来可持续发展的两大核心问题。尽管近年来有新能源的逐渐加入，但我国以煤炭和石油为主的能源结构依然造成了</w:t>
      </w:r>
      <w:r>
        <w:rPr>
          <w:rFonts w:ascii="仿宋" w:hAnsi="仿宋" w:eastAsia="仿宋"/>
          <w:sz w:val="24"/>
        </w:rPr>
        <w:t>CO2</w:t>
      </w:r>
      <w:r>
        <w:rPr>
          <w:rFonts w:hint="eastAsia" w:ascii="仿宋" w:hAnsi="仿宋" w:eastAsia="仿宋"/>
          <w:sz w:val="24"/>
        </w:rPr>
        <w:t>的大量排放，不仅对生态环境产生巨大影响，而且还造成碳资源的严重浪费。二氧化碳的减排利用已经成为了我国乃至全球面临的重要“</w:t>
      </w:r>
      <w:r>
        <w:rPr>
          <w:rFonts w:ascii="仿宋" w:hAnsi="仿宋" w:eastAsia="仿宋"/>
          <w:sz w:val="24"/>
        </w:rPr>
        <w:t>3E</w:t>
      </w:r>
      <w:r>
        <w:rPr>
          <w:rFonts w:hint="eastAsia" w:ascii="仿宋" w:hAnsi="仿宋" w:eastAsia="仿宋"/>
          <w:sz w:val="24"/>
        </w:rPr>
        <w:t>问题”（能源环境经济）之一。与此同时随着化石燃料资源的不断枯竭和原油价格的市场波动，寻找一种非石油路线合成高价值化学品已经成为</w:t>
      </w:r>
      <w:r>
        <w:rPr>
          <w:rFonts w:ascii="仿宋" w:hAnsi="仿宋" w:eastAsia="仿宋"/>
          <w:sz w:val="24"/>
        </w:rPr>
        <w:t>21</w:t>
      </w:r>
      <w:r>
        <w:rPr>
          <w:rFonts w:hint="eastAsia" w:ascii="仿宋" w:hAnsi="仿宋" w:eastAsia="仿宋"/>
          <w:sz w:val="24"/>
        </w:rPr>
        <w:t>世纪最重要的科学挑战之一。具体到中国，目前进口原油已超过</w:t>
      </w:r>
      <w:r>
        <w:rPr>
          <w:rFonts w:ascii="仿宋" w:hAnsi="仿宋" w:eastAsia="仿宋"/>
          <w:sz w:val="24"/>
        </w:rPr>
        <w:t>4</w:t>
      </w:r>
      <w:r>
        <w:rPr>
          <w:rFonts w:hint="eastAsia" w:ascii="仿宋" w:hAnsi="仿宋" w:eastAsia="仿宋"/>
          <w:sz w:val="24"/>
        </w:rPr>
        <w:t>亿吨，原油进口量与国内产量比超过</w:t>
      </w:r>
      <w:r>
        <w:rPr>
          <w:rFonts w:ascii="仿宋" w:hAnsi="仿宋" w:eastAsia="仿宋"/>
          <w:sz w:val="24"/>
        </w:rPr>
        <w:t>2:1</w:t>
      </w:r>
      <w:r>
        <w:rPr>
          <w:rFonts w:hint="eastAsia" w:ascii="仿宋" w:hAnsi="仿宋" w:eastAsia="仿宋"/>
          <w:sz w:val="24"/>
        </w:rPr>
        <w:t>，并且这一数字仍在持续攀升，亟需寻找理想的碳基原料替代品。利用</w:t>
      </w:r>
      <w:r>
        <w:rPr>
          <w:rFonts w:ascii="仿宋" w:hAnsi="仿宋" w:eastAsia="仿宋"/>
          <w:sz w:val="24"/>
        </w:rPr>
        <w:t>CO2</w:t>
      </w:r>
      <w:r>
        <w:rPr>
          <w:rFonts w:hint="eastAsia" w:ascii="仿宋" w:hAnsi="仿宋" w:eastAsia="仿宋"/>
          <w:sz w:val="24"/>
        </w:rPr>
        <w:t>来部分取代化石原料转化合成高价值化学品是未来发展的趋势，并响应我国“碳达标、碳中和”这一重大战略需求的号召。因此积极开展</w:t>
      </w:r>
      <w:r>
        <w:rPr>
          <w:rFonts w:ascii="仿宋" w:hAnsi="仿宋" w:eastAsia="仿宋"/>
          <w:sz w:val="24"/>
        </w:rPr>
        <w:t>CO2</w:t>
      </w:r>
      <w:r>
        <w:rPr>
          <w:rFonts w:hint="eastAsia" w:ascii="仿宋" w:hAnsi="仿宋" w:eastAsia="仿宋"/>
          <w:sz w:val="24"/>
        </w:rPr>
        <w:t>催化转化技术是兼顾经济发展和遏制温室效应的重要途径。而将</w:t>
      </w:r>
      <w:r>
        <w:rPr>
          <w:rFonts w:ascii="仿宋" w:hAnsi="仿宋" w:eastAsia="仿宋"/>
          <w:sz w:val="24"/>
        </w:rPr>
        <w:t>CO2</w:t>
      </w:r>
      <w:r>
        <w:rPr>
          <w:rFonts w:hint="eastAsia" w:ascii="仿宋" w:hAnsi="仿宋" w:eastAsia="仿宋"/>
          <w:sz w:val="24"/>
        </w:rPr>
        <w:t>作为有效碳资源转化为甲醇基础化学平台化合物及高附加值化学品这一新技术路线的开发，不仅可以减少</w:t>
      </w:r>
      <w:r>
        <w:rPr>
          <w:rFonts w:ascii="仿宋" w:hAnsi="仿宋" w:eastAsia="仿宋"/>
          <w:sz w:val="24"/>
        </w:rPr>
        <w:t>CO2</w:t>
      </w:r>
      <w:r>
        <w:rPr>
          <w:rFonts w:hint="eastAsia" w:ascii="仿宋" w:hAnsi="仿宋" w:eastAsia="仿宋"/>
          <w:sz w:val="24"/>
        </w:rPr>
        <w:t>的排放，而且能够有效实现碳资源的高值化及循环利用。</w:t>
      </w:r>
    </w:p>
    <w:p>
      <w:pPr>
        <w:spacing w:line="360" w:lineRule="auto"/>
        <w:ind w:firstLine="480" w:firstLineChars="200"/>
        <w:rPr>
          <w:rFonts w:ascii="仿宋" w:hAnsi="仿宋" w:eastAsia="仿宋"/>
          <w:sz w:val="24"/>
        </w:rPr>
      </w:pPr>
      <w:r>
        <w:rPr>
          <w:rFonts w:hint="eastAsia" w:ascii="仿宋" w:hAnsi="仿宋" w:eastAsia="仿宋"/>
          <w:sz w:val="24"/>
        </w:rPr>
        <w:t>本团队经过多年的研究积累，在</w:t>
      </w:r>
      <w:r>
        <w:rPr>
          <w:rFonts w:ascii="仿宋" w:hAnsi="仿宋" w:eastAsia="仿宋"/>
          <w:sz w:val="24"/>
        </w:rPr>
        <w:t>CO2</w:t>
      </w:r>
      <w:r>
        <w:rPr>
          <w:rFonts w:hint="eastAsia" w:ascii="仿宋" w:hAnsi="仿宋" w:eastAsia="仿宋"/>
          <w:sz w:val="24"/>
        </w:rPr>
        <w:t>化学转化方面取得一系列进展，形成独</w:t>
      </w:r>
      <w:r>
        <w:rPr>
          <w:rFonts w:hint="eastAsia" w:ascii="仿宋" w:hAnsi="仿宋" w:eastAsia="仿宋"/>
          <w:sz w:val="24"/>
          <w:lang w:eastAsia="zh-CN"/>
        </w:rPr>
        <w:t>具</w:t>
      </w:r>
      <w:bookmarkStart w:id="4" w:name="_GoBack"/>
      <w:bookmarkEnd w:id="4"/>
      <w:r>
        <w:rPr>
          <w:rFonts w:hint="eastAsia" w:ascii="仿宋" w:hAnsi="仿宋" w:eastAsia="仿宋"/>
          <w:sz w:val="24"/>
        </w:rPr>
        <w:t>特色和优势的研究方向，也建立了一支理论扎实、经验丰厚的研究团队，为团队在</w:t>
      </w:r>
      <w:r>
        <w:rPr>
          <w:rFonts w:ascii="仿宋" w:hAnsi="仿宋" w:eastAsia="仿宋"/>
          <w:sz w:val="24"/>
        </w:rPr>
        <w:t>CO2</w:t>
      </w:r>
      <w:r>
        <w:rPr>
          <w:rFonts w:hint="eastAsia" w:ascii="仿宋" w:hAnsi="仿宋" w:eastAsia="仿宋"/>
          <w:sz w:val="24"/>
        </w:rPr>
        <w:t>化学利用技术的发展与应用奠定了良好的基础。</w:t>
      </w:r>
    </w:p>
    <w:p>
      <w:pPr>
        <w:spacing w:line="360" w:lineRule="auto"/>
        <w:ind w:firstLine="480" w:firstLineChars="200"/>
        <w:rPr>
          <w:rFonts w:ascii="仿宋" w:hAnsi="仿宋" w:eastAsia="仿宋"/>
          <w:sz w:val="24"/>
        </w:rPr>
      </w:pPr>
      <w:r>
        <w:rPr>
          <w:rFonts w:hint="eastAsia" w:ascii="仿宋" w:hAnsi="仿宋" w:eastAsia="仿宋"/>
          <w:sz w:val="24"/>
        </w:rPr>
        <w:t>针对目前</w:t>
      </w:r>
      <w:r>
        <w:rPr>
          <w:rFonts w:ascii="仿宋" w:hAnsi="仿宋" w:eastAsia="仿宋"/>
          <w:sz w:val="24"/>
        </w:rPr>
        <w:t>CO2</w:t>
      </w:r>
      <w:r>
        <w:rPr>
          <w:rFonts w:hint="eastAsia" w:ascii="仿宋" w:hAnsi="仿宋" w:eastAsia="仿宋"/>
          <w:sz w:val="24"/>
        </w:rPr>
        <w:t>化学利用过程中工作存在的共性问题，即特定目标产物的可控生成困难等问题，着重解决催化剂结构活性位点不明确及反应机理不明晰这一限制</w:t>
      </w:r>
      <w:r>
        <w:rPr>
          <w:rFonts w:ascii="仿宋" w:hAnsi="仿宋" w:eastAsia="仿宋"/>
          <w:sz w:val="24"/>
        </w:rPr>
        <w:t>CO2</w:t>
      </w:r>
      <w:r>
        <w:rPr>
          <w:rFonts w:hint="eastAsia" w:ascii="仿宋" w:hAnsi="仿宋" w:eastAsia="仿宋"/>
          <w:sz w:val="24"/>
        </w:rPr>
        <w:t>化学转化效率的瓶颈问题，借助实验室自主研发的原位表征技术平台深入认识催化构效关系，理性设计可控合成具有特定配位环境活性位点的催化剂，从而精准活化</w:t>
      </w:r>
      <w:r>
        <w:rPr>
          <w:rFonts w:ascii="仿宋" w:hAnsi="仿宋" w:eastAsia="仿宋"/>
          <w:sz w:val="24"/>
        </w:rPr>
        <w:t>CO2</w:t>
      </w:r>
      <w:r>
        <w:rPr>
          <w:rFonts w:hint="eastAsia" w:ascii="仿宋" w:hAnsi="仿宋" w:eastAsia="仿宋"/>
          <w:sz w:val="24"/>
        </w:rPr>
        <w:t>等惰性</w:t>
      </w:r>
      <w:r>
        <w:rPr>
          <w:rFonts w:ascii="仿宋" w:hAnsi="仿宋" w:eastAsia="仿宋"/>
          <w:sz w:val="24"/>
        </w:rPr>
        <w:t>C1</w:t>
      </w:r>
      <w:r>
        <w:rPr>
          <w:rFonts w:hint="eastAsia" w:ascii="仿宋" w:hAnsi="仿宋" w:eastAsia="仿宋"/>
          <w:sz w:val="24"/>
        </w:rPr>
        <w:t>小分子使其定向转化为所需产物。研究催化剂失活前后活性物种的结构及性质变化，探究催化剂的失活机理；对反应动力学进行研究，建立动力学方程，从而得出</w:t>
      </w:r>
      <w:r>
        <w:rPr>
          <w:rFonts w:ascii="仿宋" w:hAnsi="仿宋" w:eastAsia="仿宋"/>
          <w:sz w:val="24"/>
        </w:rPr>
        <w:t>CO2</w:t>
      </w:r>
      <w:r>
        <w:rPr>
          <w:rFonts w:hint="eastAsia" w:ascii="仿宋" w:hAnsi="仿宋" w:eastAsia="仿宋"/>
          <w:sz w:val="24"/>
        </w:rPr>
        <w:t>定向转化为不同产物较为明确的反应途径。</w:t>
      </w:r>
    </w:p>
    <w:p>
      <w:pPr>
        <w:spacing w:line="360" w:lineRule="auto"/>
        <w:ind w:firstLine="480" w:firstLineChars="200"/>
        <w:rPr>
          <w:rFonts w:ascii="仿宋" w:hAnsi="仿宋" w:eastAsia="仿宋"/>
          <w:sz w:val="24"/>
        </w:rPr>
      </w:pPr>
      <w:r>
        <w:rPr>
          <w:rFonts w:hint="eastAsia" w:ascii="仿宋" w:hAnsi="仿宋" w:eastAsia="仿宋"/>
          <w:sz w:val="24"/>
        </w:rPr>
        <w:t>研究开发内容：</w:t>
      </w:r>
    </w:p>
    <w:p>
      <w:pPr>
        <w:spacing w:line="360" w:lineRule="auto"/>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）突破传统思维，研发出的新型单原子</w:t>
      </w:r>
      <w:r>
        <w:rPr>
          <w:rFonts w:ascii="仿宋" w:hAnsi="仿宋" w:eastAsia="仿宋"/>
          <w:sz w:val="24"/>
        </w:rPr>
        <w:t>Cu</w:t>
      </w:r>
      <w:r>
        <w:rPr>
          <w:rFonts w:hint="eastAsia" w:ascii="仿宋" w:hAnsi="仿宋" w:eastAsia="仿宋"/>
          <w:sz w:val="24"/>
        </w:rPr>
        <w:t>基催化剂，可在</w:t>
      </w:r>
      <w:r>
        <w:rPr>
          <w:rFonts w:ascii="仿宋" w:hAnsi="仿宋" w:eastAsia="仿宋"/>
          <w:sz w:val="24"/>
        </w:rPr>
        <w:t>CO2</w:t>
      </w:r>
      <w:r>
        <w:rPr>
          <w:rFonts w:hint="eastAsia" w:ascii="仿宋" w:hAnsi="仿宋" w:eastAsia="仿宋"/>
          <w:sz w:val="24"/>
        </w:rPr>
        <w:t>加氢制甲醇反应中低温下（</w:t>
      </w:r>
      <w:r>
        <w:rPr>
          <w:rFonts w:ascii="仿宋" w:hAnsi="仿宋" w:eastAsia="仿宋"/>
          <w:sz w:val="24"/>
        </w:rPr>
        <w:t>180oC</w:t>
      </w:r>
      <w:r>
        <w:rPr>
          <w:rFonts w:hint="eastAsia" w:ascii="仿宋" w:hAnsi="仿宋" w:eastAsia="仿宋"/>
          <w:sz w:val="24"/>
        </w:rPr>
        <w:t>）实现接近</w:t>
      </w:r>
      <w:r>
        <w:rPr>
          <w:rFonts w:ascii="仿宋" w:hAnsi="仿宋" w:eastAsia="仿宋"/>
          <w:sz w:val="24"/>
        </w:rPr>
        <w:t>100%</w:t>
      </w:r>
      <w:r>
        <w:rPr>
          <w:rFonts w:hint="eastAsia" w:ascii="仿宋" w:hAnsi="仿宋" w:eastAsia="仿宋"/>
          <w:sz w:val="24"/>
        </w:rPr>
        <w:t>甲醇选择性；</w:t>
      </w:r>
    </w:p>
    <w:p>
      <w:pPr>
        <w:spacing w:line="360" w:lineRule="auto"/>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）在</w:t>
      </w:r>
      <w:r>
        <w:rPr>
          <w:rFonts w:ascii="仿宋" w:hAnsi="仿宋" w:eastAsia="仿宋"/>
          <w:sz w:val="24"/>
        </w:rPr>
        <w:t>CO2</w:t>
      </w:r>
      <w:r>
        <w:rPr>
          <w:rFonts w:hint="eastAsia" w:ascii="仿宋" w:hAnsi="仿宋" w:eastAsia="仿宋"/>
          <w:sz w:val="24"/>
        </w:rPr>
        <w:t>或</w:t>
      </w:r>
      <w:r>
        <w:rPr>
          <w:rFonts w:ascii="仿宋" w:hAnsi="仿宋" w:eastAsia="仿宋"/>
          <w:sz w:val="24"/>
        </w:rPr>
        <w:t>CO</w:t>
      </w:r>
      <w:r>
        <w:rPr>
          <w:rFonts w:hint="eastAsia" w:ascii="仿宋" w:hAnsi="仿宋" w:eastAsia="仿宋"/>
          <w:sz w:val="24"/>
        </w:rPr>
        <w:t>经甲醇合成路线的低碳烯烃制备反应中利用胶囊催化剂可实现目标产物（低碳烯烃）</w:t>
      </w:r>
      <w:r>
        <w:rPr>
          <w:rFonts w:ascii="仿宋" w:hAnsi="仿宋" w:eastAsia="仿宋"/>
          <w:sz w:val="24"/>
        </w:rPr>
        <w:t>4.2</w:t>
      </w:r>
      <w:r>
        <w:rPr>
          <w:rFonts w:hint="eastAsia" w:ascii="仿宋" w:hAnsi="仿宋" w:eastAsia="仿宋"/>
          <w:sz w:val="24"/>
        </w:rPr>
        <w:t>×</w:t>
      </w:r>
      <w:r>
        <w:rPr>
          <w:rFonts w:ascii="仿宋" w:hAnsi="仿宋" w:eastAsia="仿宋"/>
          <w:sz w:val="24"/>
        </w:rPr>
        <w:t>10-3 c-mol</w:t>
      </w:r>
      <w:r>
        <w:rPr>
          <w:rFonts w:hint="eastAsia" w:ascii="仿宋" w:hAnsi="仿宋" w:eastAsia="仿宋"/>
          <w:sz w:val="24"/>
        </w:rPr>
        <w:t>·</w:t>
      </w:r>
      <w:r>
        <w:rPr>
          <w:rFonts w:ascii="仿宋" w:hAnsi="仿宋" w:eastAsia="仿宋"/>
          <w:sz w:val="24"/>
        </w:rPr>
        <w:t>gcat-1</w:t>
      </w:r>
      <w:r>
        <w:rPr>
          <w:rFonts w:hint="eastAsia" w:ascii="仿宋" w:hAnsi="仿宋" w:eastAsia="仿宋"/>
          <w:sz w:val="24"/>
        </w:rPr>
        <w:t>·</w:t>
      </w:r>
      <w:r>
        <w:rPr>
          <w:rFonts w:ascii="仿宋" w:hAnsi="仿宋" w:eastAsia="仿宋"/>
          <w:sz w:val="24"/>
        </w:rPr>
        <w:t>h-1</w:t>
      </w:r>
      <w:r>
        <w:rPr>
          <w:rFonts w:hint="eastAsia" w:ascii="仿宋" w:hAnsi="仿宋" w:eastAsia="仿宋"/>
          <w:sz w:val="24"/>
        </w:rPr>
        <w:t>的高时空收率。</w:t>
      </w:r>
    </w:p>
    <w:p>
      <w:pPr>
        <w:spacing w:line="360" w:lineRule="auto"/>
        <w:ind w:firstLine="480" w:firstLineChars="200"/>
        <w:rPr>
          <w:rFonts w:ascii="仿宋" w:hAnsi="仿宋" w:eastAsia="仿宋"/>
          <w:sz w:val="24"/>
        </w:rPr>
      </w:pPr>
      <w:r>
        <w:rPr>
          <w:rFonts w:ascii="仿宋" w:hAnsi="仿宋" w:eastAsia="仿宋"/>
          <w:sz w:val="24"/>
        </w:rPr>
        <w:t>3</w:t>
      </w:r>
      <w:r>
        <w:rPr>
          <w:rFonts w:hint="eastAsia" w:ascii="仿宋" w:hAnsi="仿宋" w:eastAsia="仿宋"/>
          <w:sz w:val="24"/>
        </w:rPr>
        <w:t>）以</w:t>
      </w:r>
      <w:r>
        <w:rPr>
          <w:rFonts w:ascii="仿宋" w:hAnsi="仿宋" w:eastAsia="仿宋"/>
          <w:sz w:val="24"/>
        </w:rPr>
        <w:t>CO2</w:t>
      </w:r>
      <w:r>
        <w:rPr>
          <w:rFonts w:hint="eastAsia" w:ascii="仿宋" w:hAnsi="仿宋" w:eastAsia="仿宋"/>
          <w:sz w:val="24"/>
        </w:rPr>
        <w:t>为原料气经甲醇路线进一步定向合成二甲醚、乙醇、芳烃等高附加值化学品相关路线的研发。</w:t>
      </w:r>
    </w:p>
    <w:p>
      <w:pPr>
        <w:spacing w:line="360" w:lineRule="auto"/>
        <w:ind w:firstLine="480" w:firstLineChars="200"/>
        <w:rPr>
          <w:rFonts w:ascii="仿宋" w:hAnsi="仿宋" w:eastAsia="仿宋"/>
          <w:sz w:val="24"/>
        </w:rPr>
      </w:pPr>
      <w:r>
        <w:rPr>
          <w:rFonts w:hint="eastAsia" w:ascii="仿宋" w:hAnsi="仿宋" w:eastAsia="仿宋"/>
          <w:sz w:val="24"/>
        </w:rPr>
        <w:t>成果目标：</w:t>
      </w:r>
    </w:p>
    <w:p>
      <w:pPr>
        <w:spacing w:line="360" w:lineRule="auto"/>
        <w:ind w:firstLine="480" w:firstLineChars="200"/>
        <w:rPr>
          <w:rFonts w:ascii="仿宋" w:hAnsi="仿宋" w:eastAsia="仿宋"/>
          <w:sz w:val="24"/>
        </w:rPr>
      </w:pPr>
      <w:r>
        <w:rPr>
          <w:rFonts w:hint="eastAsia" w:ascii="仿宋" w:hAnsi="仿宋" w:eastAsia="仿宋"/>
          <w:sz w:val="24"/>
        </w:rPr>
        <w:t>结合福大光催化制氢优势，完成光催化产氢与热催化活化</w:t>
      </w:r>
      <w:r>
        <w:rPr>
          <w:rFonts w:ascii="仿宋" w:hAnsi="仿宋" w:eastAsia="仿宋"/>
          <w:sz w:val="24"/>
        </w:rPr>
        <w:t>C1</w:t>
      </w:r>
      <w:r>
        <w:rPr>
          <w:rFonts w:hint="eastAsia" w:ascii="仿宋" w:hAnsi="仿宋" w:eastAsia="仿宋"/>
          <w:sz w:val="24"/>
        </w:rPr>
        <w:t>小分子定向合成高附加值化学品的反应联用示范装置的集成。根据优化后的催化剂体系研发和相关催化机理的研究，结合反应动力学数据对不同产品方案的路线进行工业化实验设计并推广。</w:t>
      </w:r>
    </w:p>
    <w:p>
      <w:pPr>
        <w:spacing w:line="360" w:lineRule="auto"/>
        <w:ind w:firstLine="480" w:firstLineChars="200"/>
        <w:rPr>
          <w:rFonts w:ascii="仿宋" w:hAnsi="仿宋" w:eastAsia="仿宋"/>
          <w:sz w:val="24"/>
        </w:rPr>
      </w:pPr>
      <w:r>
        <w:rPr>
          <w:rFonts w:hint="eastAsia" w:ascii="仿宋" w:hAnsi="仿宋" w:eastAsia="仿宋"/>
          <w:sz w:val="24"/>
        </w:rPr>
        <w:t>同时为国家能源化工产业提供新的高效合成路径，推动发展绿色清洁能源，在消碳的同时创造巨大经济效益，实现人类社会的可持续发展。</w:t>
      </w:r>
    </w:p>
    <w:p>
      <w:pPr>
        <w:spacing w:line="360" w:lineRule="auto"/>
        <w:rPr>
          <w:rFonts w:ascii="仿宋" w:hAnsi="仿宋" w:eastAsia="仿宋"/>
          <w:b/>
          <w:sz w:val="24"/>
        </w:rPr>
      </w:pPr>
      <w:r>
        <w:rPr>
          <w:rFonts w:hint="eastAsia" w:ascii="仿宋" w:hAnsi="仿宋" w:eastAsia="仿宋"/>
          <w:b/>
          <w:sz w:val="24"/>
        </w:rPr>
        <w:t>（四）生物稳定型核酸纳米线用于肿瘤靶向治疗简介</w:t>
      </w:r>
    </w:p>
    <w:p>
      <w:pPr>
        <w:spacing w:line="360" w:lineRule="auto"/>
        <w:ind w:firstLine="3240" w:firstLineChars="1350"/>
        <w:rPr>
          <w:rFonts w:ascii="仿宋" w:hAnsi="仿宋" w:eastAsia="仿宋"/>
          <w:sz w:val="24"/>
        </w:rPr>
      </w:pPr>
      <w:r>
        <w:rPr>
          <w:rFonts w:ascii="仿宋" w:hAnsi="仿宋" w:eastAsia="仿宋"/>
          <w:sz w:val="24"/>
        </w:rPr>
        <w:t>——</w:t>
      </w:r>
      <w:r>
        <w:rPr>
          <w:rFonts w:hint="eastAsia" w:ascii="仿宋" w:hAnsi="仿宋" w:eastAsia="仿宋"/>
          <w:sz w:val="24"/>
        </w:rPr>
        <w:t>吴再生教授</w:t>
      </w:r>
    </w:p>
    <w:p>
      <w:pPr>
        <w:spacing w:line="360" w:lineRule="auto"/>
        <w:ind w:firstLine="480" w:firstLineChars="200"/>
        <w:rPr>
          <w:rFonts w:ascii="仿宋" w:hAnsi="仿宋" w:eastAsia="仿宋"/>
          <w:sz w:val="24"/>
        </w:rPr>
      </w:pPr>
      <w:r>
        <w:rPr>
          <w:rFonts w:hint="eastAsia" w:ascii="仿宋" w:hAnsi="仿宋" w:eastAsia="仿宋"/>
          <w:sz w:val="24"/>
        </w:rPr>
        <w:t>核酸纳米材料由于其高编程性、高生物相容性、批量生产等特点，在生物医</w:t>
      </w:r>
      <w:r>
        <w:rPr>
          <w:rFonts w:ascii="仿宋" w:hAnsi="仿宋" w:eastAsia="仿宋"/>
          <w:sz w:val="24"/>
        </w:rPr>
        <w:t xml:space="preserve"> </w:t>
      </w:r>
      <w:r>
        <w:rPr>
          <w:rFonts w:hint="eastAsia" w:ascii="仿宋" w:hAnsi="仿宋" w:eastAsia="仿宋"/>
          <w:sz w:val="24"/>
        </w:rPr>
        <w:t>药领域成为最具潜力的生物材料之一。单链</w:t>
      </w:r>
      <w:r>
        <w:rPr>
          <w:rFonts w:ascii="仿宋" w:hAnsi="仿宋" w:eastAsia="仿宋"/>
          <w:sz w:val="24"/>
        </w:rPr>
        <w:t xml:space="preserve"> DNA (ssDNA)</w:t>
      </w:r>
      <w:r>
        <w:rPr>
          <w:rFonts w:hint="eastAsia" w:ascii="仿宋" w:hAnsi="仿宋" w:eastAsia="仿宋"/>
          <w:sz w:val="24"/>
        </w:rPr>
        <w:t>具有较好的柔性，通</w:t>
      </w:r>
      <w:r>
        <w:rPr>
          <w:rFonts w:ascii="仿宋" w:hAnsi="仿宋" w:eastAsia="仿宋"/>
          <w:sz w:val="24"/>
        </w:rPr>
        <w:t xml:space="preserve"> </w:t>
      </w:r>
      <w:r>
        <w:rPr>
          <w:rFonts w:hint="eastAsia" w:ascii="仿宋" w:hAnsi="仿宋" w:eastAsia="仿宋"/>
          <w:sz w:val="24"/>
        </w:rPr>
        <w:t>过碱基互补配对，可组装成为具有一定刚性的双链</w:t>
      </w:r>
      <w:r>
        <w:rPr>
          <w:rFonts w:ascii="仿宋" w:hAnsi="仿宋" w:eastAsia="仿宋"/>
          <w:sz w:val="24"/>
        </w:rPr>
        <w:t xml:space="preserve"> DNA (dsDNA)</w:t>
      </w:r>
      <w:r>
        <w:rPr>
          <w:rFonts w:hint="eastAsia" w:ascii="仿宋" w:hAnsi="仿宋" w:eastAsia="仿宋"/>
          <w:sz w:val="24"/>
        </w:rPr>
        <w:t>。通过这种特</w:t>
      </w:r>
      <w:r>
        <w:rPr>
          <w:rFonts w:ascii="仿宋" w:hAnsi="仿宋" w:eastAsia="仿宋"/>
          <w:sz w:val="24"/>
        </w:rPr>
        <w:t xml:space="preserve"> </w:t>
      </w:r>
      <w:r>
        <w:rPr>
          <w:rFonts w:hint="eastAsia" w:ascii="仿宋" w:hAnsi="仿宋" w:eastAsia="仿宋"/>
          <w:sz w:val="24"/>
        </w:rPr>
        <w:t>性，</w:t>
      </w:r>
      <w:r>
        <w:rPr>
          <w:rFonts w:ascii="仿宋" w:hAnsi="仿宋" w:eastAsia="仿宋"/>
          <w:sz w:val="24"/>
        </w:rPr>
        <w:t xml:space="preserve">DNA </w:t>
      </w:r>
      <w:r>
        <w:rPr>
          <w:rFonts w:hint="eastAsia" w:ascii="仿宋" w:hAnsi="仿宋" w:eastAsia="仿宋"/>
          <w:sz w:val="24"/>
        </w:rPr>
        <w:t>被成功的设计组装成了各种核酸纳米材料，并成功应用于肿瘤诊疗平</w:t>
      </w:r>
      <w:r>
        <w:rPr>
          <w:rFonts w:ascii="仿宋" w:hAnsi="仿宋" w:eastAsia="仿宋"/>
          <w:sz w:val="24"/>
        </w:rPr>
        <w:t xml:space="preserve"> </w:t>
      </w:r>
      <w:r>
        <w:rPr>
          <w:rFonts w:hint="eastAsia" w:ascii="仿宋" w:hAnsi="仿宋" w:eastAsia="仿宋"/>
          <w:sz w:val="24"/>
        </w:rPr>
        <w:t>台的构建。</w:t>
      </w:r>
      <w:r>
        <w:rPr>
          <w:rFonts w:ascii="仿宋" w:hAnsi="仿宋" w:eastAsia="仿宋"/>
          <w:sz w:val="24"/>
        </w:rPr>
        <w:t xml:space="preserve"> </w:t>
      </w:r>
    </w:p>
    <w:p>
      <w:pPr>
        <w:spacing w:line="360" w:lineRule="auto"/>
        <w:ind w:firstLine="480" w:firstLineChars="200"/>
        <w:rPr>
          <w:rFonts w:ascii="仿宋" w:hAnsi="仿宋" w:eastAsia="仿宋"/>
          <w:sz w:val="24"/>
        </w:rPr>
      </w:pPr>
      <w:r>
        <w:rPr>
          <w:rFonts w:hint="eastAsia" w:ascii="仿宋" w:hAnsi="仿宋" w:eastAsia="仿宋"/>
          <w:sz w:val="24"/>
        </w:rPr>
        <w:t>生物稳定型核酸纳米线采取核酸末端隐藏的组装策略，形成一个周期性排列</w:t>
      </w:r>
      <w:r>
        <w:rPr>
          <w:rFonts w:ascii="仿宋" w:hAnsi="仿宋" w:eastAsia="仿宋"/>
          <w:sz w:val="24"/>
        </w:rPr>
        <w:t xml:space="preserve"> </w:t>
      </w:r>
      <w:r>
        <w:rPr>
          <w:rFonts w:hint="eastAsia" w:ascii="仿宋" w:hAnsi="仿宋" w:eastAsia="仿宋"/>
          <w:sz w:val="24"/>
        </w:rPr>
        <w:t>的</w:t>
      </w:r>
      <w:r>
        <w:rPr>
          <w:rFonts w:ascii="仿宋" w:hAnsi="仿宋" w:eastAsia="仿宋"/>
          <w:sz w:val="24"/>
        </w:rPr>
        <w:t xml:space="preserve"> DNA </w:t>
      </w:r>
      <w:r>
        <w:rPr>
          <w:rFonts w:hint="eastAsia" w:ascii="仿宋" w:hAnsi="仿宋" w:eastAsia="仿宋"/>
          <w:sz w:val="24"/>
        </w:rPr>
        <w:t>纳米线，通过具有细胞特异性识别的适配体对纳米线外层进行修饰，以</w:t>
      </w:r>
      <w:r>
        <w:rPr>
          <w:rFonts w:ascii="仿宋" w:hAnsi="仿宋" w:eastAsia="仿宋"/>
          <w:sz w:val="24"/>
        </w:rPr>
        <w:t xml:space="preserve"> </w:t>
      </w:r>
      <w:r>
        <w:rPr>
          <w:rFonts w:hint="eastAsia" w:ascii="仿宋" w:hAnsi="仿宋" w:eastAsia="仿宋"/>
          <w:sz w:val="24"/>
        </w:rPr>
        <w:t>此构建了一个纳米线</w:t>
      </w:r>
      <w:r>
        <w:rPr>
          <w:rFonts w:ascii="仿宋" w:hAnsi="仿宋" w:eastAsia="仿宋"/>
          <w:sz w:val="24"/>
        </w:rPr>
        <w:t>-</w:t>
      </w:r>
      <w:r>
        <w:rPr>
          <w:rFonts w:hint="eastAsia" w:ascii="仿宋" w:hAnsi="仿宋" w:eastAsia="仿宋"/>
          <w:sz w:val="24"/>
        </w:rPr>
        <w:t>适配体的核壳结构，并用于肿瘤诊疗平台的打造。</w:t>
      </w:r>
      <w:r>
        <w:rPr>
          <w:rFonts w:ascii="仿宋" w:hAnsi="仿宋" w:eastAsia="仿宋"/>
          <w:sz w:val="24"/>
        </w:rPr>
        <w:t xml:space="preserve">DNA </w:t>
      </w:r>
      <w:r>
        <w:rPr>
          <w:rFonts w:hint="eastAsia" w:ascii="仿宋" w:hAnsi="仿宋" w:eastAsia="仿宋"/>
          <w:sz w:val="24"/>
        </w:rPr>
        <w:t>纳</w:t>
      </w:r>
      <w:r>
        <w:rPr>
          <w:rFonts w:ascii="仿宋" w:hAnsi="仿宋" w:eastAsia="仿宋"/>
          <w:sz w:val="24"/>
        </w:rPr>
        <w:t xml:space="preserve"> </w:t>
      </w:r>
      <w:r>
        <w:rPr>
          <w:rFonts w:hint="eastAsia" w:ascii="仿宋" w:hAnsi="仿宋" w:eastAsia="仿宋"/>
          <w:sz w:val="24"/>
        </w:rPr>
        <w:t>米线的组装极其简便，仅通过四种</w:t>
      </w:r>
      <w:r>
        <w:rPr>
          <w:rFonts w:ascii="仿宋" w:hAnsi="仿宋" w:eastAsia="仿宋"/>
          <w:sz w:val="24"/>
        </w:rPr>
        <w:t xml:space="preserve"> ssDNA </w:t>
      </w:r>
      <w:r>
        <w:rPr>
          <w:rFonts w:hint="eastAsia" w:ascii="仿宋" w:hAnsi="仿宋" w:eastAsia="仿宋"/>
          <w:sz w:val="24"/>
        </w:rPr>
        <w:t>即可完成</w:t>
      </w:r>
      <w:r>
        <w:rPr>
          <w:rFonts w:ascii="仿宋" w:hAnsi="仿宋" w:eastAsia="仿宋"/>
          <w:sz w:val="24"/>
        </w:rPr>
        <w:t>:</w:t>
      </w:r>
      <w:r>
        <w:rPr>
          <w:rFonts w:hint="eastAsia" w:ascii="仿宋" w:hAnsi="仿宋" w:eastAsia="仿宋"/>
          <w:sz w:val="24"/>
        </w:rPr>
        <w:t>四种</w:t>
      </w:r>
      <w:r>
        <w:rPr>
          <w:rFonts w:ascii="仿宋" w:hAnsi="仿宋" w:eastAsia="仿宋"/>
          <w:sz w:val="24"/>
        </w:rPr>
        <w:t xml:space="preserve"> ssDNA (S1, S2, S3, S4) </w:t>
      </w:r>
      <w:r>
        <w:rPr>
          <w:rFonts w:hint="eastAsia" w:ascii="仿宋" w:hAnsi="仿宋" w:eastAsia="仿宋"/>
          <w:sz w:val="24"/>
        </w:rPr>
        <w:t>两两杂交形成两个双链模块，并以周期性的组装形式形成纳米线。通过证明，这</w:t>
      </w:r>
      <w:r>
        <w:rPr>
          <w:rFonts w:ascii="仿宋" w:hAnsi="仿宋" w:eastAsia="仿宋"/>
          <w:sz w:val="24"/>
        </w:rPr>
        <w:t xml:space="preserve"> </w:t>
      </w:r>
      <w:r>
        <w:rPr>
          <w:rFonts w:hint="eastAsia" w:ascii="仿宋" w:hAnsi="仿宋" w:eastAsia="仿宋"/>
          <w:sz w:val="24"/>
        </w:rPr>
        <w:t>种发夹型适配体作为外壳的结构，可以将核酸末端隐藏在纳米线中，有效的避免</w:t>
      </w:r>
      <w:r>
        <w:rPr>
          <w:rFonts w:ascii="仿宋" w:hAnsi="仿宋" w:eastAsia="仿宋"/>
          <w:sz w:val="24"/>
        </w:rPr>
        <w:t xml:space="preserve"> </w:t>
      </w:r>
      <w:r>
        <w:rPr>
          <w:rFonts w:hint="eastAsia" w:ascii="仿宋" w:hAnsi="仿宋" w:eastAsia="仿宋"/>
          <w:sz w:val="24"/>
        </w:rPr>
        <w:t>了血清中核酸酶的降解，在</w:t>
      </w:r>
      <w:r>
        <w:rPr>
          <w:rFonts w:ascii="仿宋" w:hAnsi="仿宋" w:eastAsia="仿宋"/>
          <w:sz w:val="24"/>
        </w:rPr>
        <w:t xml:space="preserve"> 10%</w:t>
      </w:r>
      <w:r>
        <w:rPr>
          <w:rFonts w:hint="eastAsia" w:ascii="仿宋" w:hAnsi="仿宋" w:eastAsia="仿宋"/>
          <w:sz w:val="24"/>
        </w:rPr>
        <w:t>的血清中可以稳定存在超过</w:t>
      </w:r>
      <w:r>
        <w:rPr>
          <w:rFonts w:ascii="仿宋" w:hAnsi="仿宋" w:eastAsia="仿宋"/>
          <w:sz w:val="24"/>
        </w:rPr>
        <w:t xml:space="preserve"> 24 </w:t>
      </w:r>
      <w:r>
        <w:rPr>
          <w:rFonts w:hint="eastAsia" w:ascii="仿宋" w:hAnsi="仿宋" w:eastAsia="仿宋"/>
          <w:sz w:val="24"/>
        </w:rPr>
        <w:t>小时。此外，外</w:t>
      </w:r>
      <w:r>
        <w:rPr>
          <w:rFonts w:ascii="仿宋" w:hAnsi="仿宋" w:eastAsia="仿宋"/>
          <w:sz w:val="24"/>
        </w:rPr>
        <w:t xml:space="preserve"> </w:t>
      </w:r>
      <w:r>
        <w:rPr>
          <w:rFonts w:hint="eastAsia" w:ascii="仿宋" w:hAnsi="仿宋" w:eastAsia="仿宋"/>
          <w:sz w:val="24"/>
        </w:rPr>
        <w:t>层的适配体对肿瘤细胞具有特异性识别，通过设计不同的适配体能够对特定的细</w:t>
      </w:r>
      <w:r>
        <w:rPr>
          <w:rFonts w:ascii="仿宋" w:hAnsi="仿宋" w:eastAsia="仿宋"/>
          <w:sz w:val="24"/>
        </w:rPr>
        <w:t xml:space="preserve"> </w:t>
      </w:r>
      <w:r>
        <w:rPr>
          <w:rFonts w:hint="eastAsia" w:ascii="仿宋" w:hAnsi="仿宋" w:eastAsia="仿宋"/>
          <w:sz w:val="24"/>
        </w:rPr>
        <w:t>胞进行靶向，因此这种</w:t>
      </w:r>
      <w:r>
        <w:rPr>
          <w:rFonts w:ascii="仿宋" w:hAnsi="仿宋" w:eastAsia="仿宋"/>
          <w:sz w:val="24"/>
        </w:rPr>
        <w:t xml:space="preserve"> DNA </w:t>
      </w:r>
      <w:r>
        <w:rPr>
          <w:rFonts w:hint="eastAsia" w:ascii="仿宋" w:hAnsi="仿宋" w:eastAsia="仿宋"/>
          <w:sz w:val="24"/>
        </w:rPr>
        <w:t>纳米线具有精准的肿瘤细胞靶向能力。整个体系具</w:t>
      </w:r>
      <w:r>
        <w:rPr>
          <w:rFonts w:ascii="仿宋" w:hAnsi="仿宋" w:eastAsia="仿宋"/>
          <w:sz w:val="24"/>
        </w:rPr>
        <w:t xml:space="preserve"> </w:t>
      </w:r>
      <w:r>
        <w:rPr>
          <w:rFonts w:hint="eastAsia" w:ascii="仿宋" w:hAnsi="仿宋" w:eastAsia="仿宋"/>
          <w:sz w:val="24"/>
        </w:rPr>
        <w:t>有高稳定性、高靶向性、组装简便等优势，</w:t>
      </w:r>
      <w:r>
        <w:rPr>
          <w:rFonts w:ascii="仿宋" w:hAnsi="仿宋" w:eastAsia="仿宋"/>
          <w:sz w:val="24"/>
        </w:rPr>
        <w:t xml:space="preserve"> </w:t>
      </w:r>
      <w:r>
        <w:rPr>
          <w:rFonts w:hint="eastAsia" w:ascii="仿宋" w:hAnsi="仿宋" w:eastAsia="仿宋"/>
          <w:sz w:val="24"/>
        </w:rPr>
        <w:t>有望成为肿瘤靶向诊疗的新型载体。</w:t>
      </w:r>
      <w:r>
        <w:rPr>
          <w:rFonts w:ascii="仿宋" w:hAnsi="仿宋" w:eastAsia="仿宋"/>
          <w:sz w:val="24"/>
        </w:rPr>
        <w:t xml:space="preserve"> </w:t>
      </w:r>
    </w:p>
    <w:p>
      <w:pPr>
        <w:spacing w:line="360" w:lineRule="auto"/>
        <w:ind w:firstLine="480" w:firstLineChars="200"/>
        <w:jc w:val="center"/>
        <w:rPr>
          <w:rFonts w:ascii="仿宋_GB2312" w:eastAsia="仿宋_GB2312"/>
          <w:sz w:val="32"/>
          <w:szCs w:val="32"/>
        </w:rPr>
      </w:pPr>
      <w:r>
        <w:rPr>
          <w:rFonts w:ascii="宋体" w:cs="宋体"/>
          <w:sz w:val="24"/>
          <w:szCs w:val="24"/>
        </w:rPr>
        <w:drawing>
          <wp:inline distT="0" distB="0" distL="114300" distR="114300">
            <wp:extent cx="2333625" cy="1295400"/>
            <wp:effectExtent l="0" t="0" r="9525" b="0"/>
            <wp:docPr id="5" name="图片 5" descr="page1image4818596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page1image48185968"/>
                    <pic:cNvPicPr>
                      <a:picLocks noChangeAspect="true"/>
                    </pic:cNvPicPr>
                  </pic:nvPicPr>
                  <pic:blipFill>
                    <a:blip r:embed="rId9" r:link="rId10"/>
                    <a:stretch>
                      <a:fillRect/>
                    </a:stretch>
                  </pic:blipFill>
                  <pic:spPr>
                    <a:xfrm>
                      <a:off x="0" y="0"/>
                      <a:ext cx="2333625" cy="1295400"/>
                    </a:xfrm>
                    <a:prstGeom prst="rect">
                      <a:avLst/>
                    </a:prstGeom>
                    <a:noFill/>
                    <a:ln w="9525">
                      <a:noFill/>
                    </a:ln>
                  </pic:spPr>
                </pic:pic>
              </a:graphicData>
            </a:graphic>
          </wp:inline>
        </w:drawing>
      </w:r>
    </w:p>
    <w:p>
      <w:pPr>
        <w:spacing w:line="360" w:lineRule="auto"/>
        <w:ind w:firstLine="480" w:firstLineChars="200"/>
        <w:rPr>
          <w:rFonts w:ascii="仿宋" w:hAnsi="仿宋" w:eastAsia="仿宋"/>
          <w:sz w:val="24"/>
        </w:rPr>
      </w:pPr>
      <w:r>
        <w:rPr>
          <w:rFonts w:hint="eastAsia" w:ascii="仿宋" w:hAnsi="仿宋" w:eastAsia="仿宋"/>
          <w:sz w:val="24"/>
        </w:rPr>
        <w:t>所构建的</w:t>
      </w:r>
      <w:r>
        <w:rPr>
          <w:rFonts w:ascii="仿宋" w:hAnsi="仿宋" w:eastAsia="仿宋"/>
          <w:sz w:val="24"/>
        </w:rPr>
        <w:t xml:space="preserve"> DNA </w:t>
      </w:r>
      <w:r>
        <w:rPr>
          <w:rFonts w:hint="eastAsia" w:ascii="仿宋" w:hAnsi="仿宋" w:eastAsia="仿宋"/>
          <w:sz w:val="24"/>
        </w:rPr>
        <w:t>纳米线能够运载多种</w:t>
      </w:r>
      <w:r>
        <w:rPr>
          <w:rFonts w:ascii="仿宋" w:hAnsi="仿宋" w:eastAsia="仿宋"/>
          <w:sz w:val="24"/>
        </w:rPr>
        <w:t xml:space="preserve"> </w:t>
      </w:r>
      <w:r>
        <w:rPr>
          <w:rFonts w:hint="eastAsia" w:ascii="仿宋" w:hAnsi="仿宋" w:eastAsia="仿宋"/>
          <w:sz w:val="24"/>
        </w:rPr>
        <w:t>药物，例如化学药物阿霉素</w:t>
      </w:r>
      <w:r>
        <w:rPr>
          <w:rFonts w:ascii="仿宋" w:hAnsi="仿宋" w:eastAsia="仿宋"/>
          <w:sz w:val="24"/>
        </w:rPr>
        <w:t>(Dox)</w:t>
      </w:r>
      <w:r>
        <w:rPr>
          <w:rFonts w:hint="eastAsia" w:ascii="仿宋" w:hAnsi="仿宋" w:eastAsia="仿宋"/>
          <w:sz w:val="24"/>
        </w:rPr>
        <w:t>能够插入到</w:t>
      </w:r>
      <w:r>
        <w:rPr>
          <w:rFonts w:ascii="仿宋" w:hAnsi="仿宋" w:eastAsia="仿宋"/>
          <w:sz w:val="24"/>
        </w:rPr>
        <w:t xml:space="preserve"> DNA </w:t>
      </w:r>
      <w:r>
        <w:rPr>
          <w:rFonts w:hint="eastAsia" w:ascii="仿宋" w:hAnsi="仿宋" w:eastAsia="仿宋"/>
          <w:sz w:val="24"/>
        </w:rPr>
        <w:t>双链中</w:t>
      </w:r>
      <w:r>
        <w:rPr>
          <w:rFonts w:ascii="仿宋" w:hAnsi="仿宋" w:eastAsia="仿宋"/>
          <w:sz w:val="24"/>
        </w:rPr>
        <w:t>;</w:t>
      </w:r>
      <w:r>
        <w:rPr>
          <w:rFonts w:hint="eastAsia" w:ascii="仿宋" w:hAnsi="仿宋" w:eastAsia="仿宋"/>
          <w:sz w:val="24"/>
        </w:rPr>
        <w:t>对于核酸药物</w:t>
      </w:r>
      <w:r>
        <w:rPr>
          <w:rFonts w:ascii="仿宋" w:hAnsi="仿宋" w:eastAsia="仿宋"/>
          <w:sz w:val="24"/>
        </w:rPr>
        <w:t xml:space="preserve"> (siRNA)</w:t>
      </w:r>
      <w:r>
        <w:rPr>
          <w:rFonts w:hint="eastAsia" w:ascii="仿宋" w:hAnsi="仿宋" w:eastAsia="仿宋"/>
          <w:sz w:val="24"/>
        </w:rPr>
        <w:t>可以将纳米线中心的双链结构设计为</w:t>
      </w:r>
      <w:r>
        <w:rPr>
          <w:rFonts w:ascii="仿宋" w:hAnsi="仿宋" w:eastAsia="仿宋"/>
          <w:sz w:val="24"/>
        </w:rPr>
        <w:t xml:space="preserve"> siRNA</w:t>
      </w:r>
      <w:r>
        <w:rPr>
          <w:rFonts w:hint="eastAsia" w:ascii="仿宋" w:hAnsi="仿宋" w:eastAsia="仿宋"/>
          <w:sz w:val="24"/>
        </w:rPr>
        <w:t>，以此运载</w:t>
      </w:r>
      <w:r>
        <w:rPr>
          <w:rFonts w:ascii="仿宋" w:hAnsi="仿宋" w:eastAsia="仿宋"/>
          <w:sz w:val="24"/>
        </w:rPr>
        <w:t xml:space="preserve"> siRNA</w:t>
      </w:r>
      <w:r>
        <w:rPr>
          <w:rFonts w:hint="eastAsia" w:ascii="仿宋" w:hAnsi="仿宋" w:eastAsia="仿宋"/>
          <w:sz w:val="24"/>
        </w:rPr>
        <w:t>。研究数据表明，一分子核酸组装体能够运载</w:t>
      </w:r>
      <w:r>
        <w:rPr>
          <w:rFonts w:ascii="仿宋" w:hAnsi="仿宋" w:eastAsia="仿宋"/>
          <w:sz w:val="24"/>
        </w:rPr>
        <w:t xml:space="preserve"> 7.60 </w:t>
      </w:r>
      <w:r>
        <w:rPr>
          <w:rFonts w:hint="eastAsia" w:ascii="仿宋" w:hAnsi="仿宋" w:eastAsia="仿宋"/>
          <w:sz w:val="24"/>
        </w:rPr>
        <w:t>×</w:t>
      </w:r>
      <w:r>
        <w:rPr>
          <w:rFonts w:ascii="仿宋" w:hAnsi="仿宋" w:eastAsia="仿宋"/>
          <w:sz w:val="24"/>
        </w:rPr>
        <w:t xml:space="preserve">105 </w:t>
      </w:r>
      <w:r>
        <w:rPr>
          <w:rFonts w:hint="eastAsia" w:ascii="仿宋" w:hAnsi="仿宋" w:eastAsia="仿宋"/>
          <w:sz w:val="24"/>
        </w:rPr>
        <w:t>分子阿霉素药物。通过适体介导的特异性识别与细胞内化过程，纳米线能</w:t>
      </w:r>
      <w:r>
        <w:rPr>
          <w:rFonts w:ascii="仿宋" w:hAnsi="仿宋" w:eastAsia="仿宋"/>
          <w:sz w:val="24"/>
        </w:rPr>
        <w:t xml:space="preserve"> </w:t>
      </w:r>
      <w:r>
        <w:rPr>
          <w:rFonts w:hint="eastAsia" w:ascii="仿宋" w:hAnsi="仿宋" w:eastAsia="仿宋"/>
          <w:sz w:val="24"/>
        </w:rPr>
        <w:t>够靶向进入肿瘤细胞内部。通过细胞活性测试等技术手段，验证了良好的肿瘤杀</w:t>
      </w:r>
      <w:r>
        <w:rPr>
          <w:rFonts w:ascii="仿宋" w:hAnsi="仿宋" w:eastAsia="仿宋"/>
          <w:sz w:val="24"/>
        </w:rPr>
        <w:t xml:space="preserve"> </w:t>
      </w:r>
      <w:r>
        <w:rPr>
          <w:rFonts w:hint="eastAsia" w:ascii="仿宋" w:hAnsi="仿宋" w:eastAsia="仿宋"/>
          <w:sz w:val="24"/>
        </w:rPr>
        <w:t>伤效果。同时，在活体水平对治疗效果做了验证。研究表明，所构建的核酸纳米</w:t>
      </w:r>
      <w:r>
        <w:rPr>
          <w:rFonts w:ascii="仿宋" w:hAnsi="仿宋" w:eastAsia="仿宋"/>
          <w:sz w:val="24"/>
        </w:rPr>
        <w:t xml:space="preserve"> </w:t>
      </w:r>
      <w:r>
        <w:rPr>
          <w:rFonts w:hint="eastAsia" w:ascii="仿宋" w:hAnsi="仿宋" w:eastAsia="仿宋"/>
          <w:sz w:val="24"/>
        </w:rPr>
        <w:t>线具有良好的生物相容性以及理想的抗血清降解能力，能够在活体水平运载药物，</w:t>
      </w:r>
      <w:r>
        <w:rPr>
          <w:rFonts w:ascii="仿宋" w:hAnsi="仿宋" w:eastAsia="仿宋"/>
          <w:sz w:val="24"/>
        </w:rPr>
        <w:t xml:space="preserve"> </w:t>
      </w:r>
      <w:r>
        <w:rPr>
          <w:rFonts w:hint="eastAsia" w:ascii="仿宋" w:hAnsi="仿宋" w:eastAsia="仿宋"/>
          <w:sz w:val="24"/>
        </w:rPr>
        <w:t>以此抑制肿瘤的生长。该纳米线的构建为生物医药纳米材料的研发、肿瘤的靶向</w:t>
      </w:r>
      <w:r>
        <w:rPr>
          <w:rFonts w:ascii="仿宋" w:hAnsi="仿宋" w:eastAsia="仿宋"/>
          <w:sz w:val="24"/>
        </w:rPr>
        <w:t xml:space="preserve"> </w:t>
      </w:r>
      <w:r>
        <w:rPr>
          <w:rFonts w:hint="eastAsia" w:ascii="仿宋" w:hAnsi="仿宋" w:eastAsia="仿宋"/>
          <w:sz w:val="24"/>
        </w:rPr>
        <w:t>治疗提供了重要的技术支撑和设计思路。</w:t>
      </w:r>
      <w:r>
        <w:rPr>
          <w:rFonts w:ascii="仿宋" w:hAnsi="仿宋" w:eastAsia="仿宋"/>
          <w:sz w:val="24"/>
        </w:rPr>
        <w:t xml:space="preserve"> </w:t>
      </w:r>
    </w:p>
    <w:p>
      <w:pPr>
        <w:spacing w:line="360" w:lineRule="auto"/>
        <w:rPr>
          <w:rFonts w:ascii="仿宋" w:hAnsi="仿宋" w:eastAsia="仿宋"/>
          <w:b/>
          <w:sz w:val="24"/>
        </w:rPr>
      </w:pPr>
      <w:r>
        <w:rPr>
          <w:rFonts w:hint="eastAsia" w:ascii="仿宋" w:hAnsi="仿宋" w:eastAsia="仿宋"/>
          <w:b/>
          <w:sz w:val="24"/>
        </w:rPr>
        <w:t>（五）基于先进纳米传感的低成本、快速、高通量医疗监测技术</w:t>
      </w:r>
    </w:p>
    <w:p>
      <w:pPr>
        <w:spacing w:line="360" w:lineRule="auto"/>
        <w:ind w:firstLine="3000" w:firstLineChars="1250"/>
        <w:rPr>
          <w:rFonts w:ascii="仿宋" w:hAnsi="仿宋" w:eastAsia="仿宋"/>
          <w:sz w:val="24"/>
        </w:rPr>
      </w:pPr>
      <w:r>
        <w:rPr>
          <w:rFonts w:ascii="仿宋" w:hAnsi="仿宋" w:eastAsia="仿宋"/>
          <w:sz w:val="24"/>
        </w:rPr>
        <w:t>——</w:t>
      </w:r>
      <w:r>
        <w:rPr>
          <w:rFonts w:hint="eastAsia" w:ascii="仿宋" w:hAnsi="仿宋" w:eastAsia="仿宋"/>
          <w:sz w:val="24"/>
        </w:rPr>
        <w:t>池毓务教授</w:t>
      </w:r>
    </w:p>
    <w:p>
      <w:pPr>
        <w:spacing w:line="360" w:lineRule="auto"/>
        <w:ind w:firstLine="480" w:firstLineChars="200"/>
        <w:rPr>
          <w:rFonts w:ascii="仿宋" w:hAnsi="仿宋" w:eastAsia="仿宋"/>
          <w:sz w:val="24"/>
        </w:rPr>
      </w:pPr>
      <w:r>
        <w:rPr>
          <w:rFonts w:hint="eastAsia" w:ascii="仿宋" w:hAnsi="仿宋" w:eastAsia="仿宋"/>
          <w:sz w:val="24"/>
        </w:rPr>
        <w:t>福州大学化学学院池毓务教授（博导、省科技创新领军人才）领衔的纳米传感研究团队，在</w:t>
      </w:r>
      <w:r>
        <w:rPr>
          <w:rFonts w:ascii="仿宋" w:hAnsi="仿宋" w:eastAsia="仿宋"/>
          <w:sz w:val="24"/>
        </w:rPr>
        <w:t>1</w:t>
      </w:r>
      <w:r>
        <w:rPr>
          <w:rFonts w:hint="eastAsia" w:ascii="仿宋" w:hAnsi="仿宋" w:eastAsia="仿宋"/>
          <w:sz w:val="24"/>
        </w:rPr>
        <w:t>项国家</w:t>
      </w:r>
      <w:r>
        <w:rPr>
          <w:rFonts w:ascii="仿宋" w:hAnsi="仿宋" w:eastAsia="仿宋"/>
          <w:sz w:val="24"/>
        </w:rPr>
        <w:t>863</w:t>
      </w:r>
      <w:r>
        <w:rPr>
          <w:rFonts w:hint="eastAsia" w:ascii="仿宋" w:hAnsi="仿宋" w:eastAsia="仿宋"/>
          <w:sz w:val="24"/>
        </w:rPr>
        <w:t>重大项目和</w:t>
      </w:r>
      <w:r>
        <w:rPr>
          <w:rFonts w:ascii="仿宋" w:hAnsi="仿宋" w:eastAsia="仿宋"/>
          <w:sz w:val="24"/>
        </w:rPr>
        <w:t>5</w:t>
      </w:r>
      <w:r>
        <w:rPr>
          <w:rFonts w:hint="eastAsia" w:ascii="仿宋" w:hAnsi="仿宋" w:eastAsia="仿宋"/>
          <w:sz w:val="24"/>
        </w:rPr>
        <w:t>项国家自然科学基金的先后资助下，开展了先进功能纳米材料的合成、新型生物传感界面的构建、低成本高性能化学与生物传感技术研究，以及先进纳米生物传感技术在医学临床重大疾病早期诊断上应用与开发。已取得了一系列研究与应用成果，包括在化学领域顶级刊物《美国化学会志》、《德国应用化学》在内的国际科技期刊上发表</w:t>
      </w:r>
      <w:r>
        <w:rPr>
          <w:rFonts w:ascii="仿宋" w:hAnsi="仿宋" w:eastAsia="仿宋"/>
          <w:sz w:val="24"/>
        </w:rPr>
        <w:t>150</w:t>
      </w:r>
      <w:r>
        <w:rPr>
          <w:rFonts w:hint="eastAsia" w:ascii="仿宋" w:hAnsi="仿宋" w:eastAsia="仿宋"/>
          <w:sz w:val="24"/>
        </w:rPr>
        <w:t>余篇化学与生物传感研究论文，获授权国家发明专利</w:t>
      </w:r>
      <w:r>
        <w:rPr>
          <w:rFonts w:ascii="仿宋" w:hAnsi="仿宋" w:eastAsia="仿宋"/>
          <w:sz w:val="24"/>
        </w:rPr>
        <w:t>11</w:t>
      </w:r>
      <w:r>
        <w:rPr>
          <w:rFonts w:hint="eastAsia" w:ascii="仿宋" w:hAnsi="仿宋" w:eastAsia="仿宋"/>
          <w:sz w:val="24"/>
        </w:rPr>
        <w:t>项，获省科技一等奖</w:t>
      </w:r>
      <w:r>
        <w:rPr>
          <w:rFonts w:ascii="仿宋" w:hAnsi="仿宋" w:eastAsia="仿宋"/>
          <w:sz w:val="24"/>
        </w:rPr>
        <w:t>1</w:t>
      </w:r>
      <w:r>
        <w:rPr>
          <w:rFonts w:hint="eastAsia" w:ascii="仿宋" w:hAnsi="仿宋" w:eastAsia="仿宋"/>
          <w:sz w:val="24"/>
        </w:rPr>
        <w:t>项、二等奖</w:t>
      </w:r>
      <w:r>
        <w:rPr>
          <w:rFonts w:ascii="仿宋" w:hAnsi="仿宋" w:eastAsia="仿宋"/>
          <w:sz w:val="24"/>
        </w:rPr>
        <w:t>2</w:t>
      </w:r>
      <w:r>
        <w:rPr>
          <w:rFonts w:hint="eastAsia" w:ascii="仿宋" w:hAnsi="仿宋" w:eastAsia="仿宋"/>
          <w:sz w:val="24"/>
        </w:rPr>
        <w:t>项。其中基于先进纳米传感的低成本、快速、高通量医疗监测技术包括：</w:t>
      </w:r>
      <w:r>
        <w:rPr>
          <w:rFonts w:ascii="仿宋" w:hAnsi="仿宋" w:eastAsia="仿宋"/>
          <w:sz w:val="24"/>
        </w:rPr>
        <w:t xml:space="preserve">  </w:t>
      </w:r>
    </w:p>
    <w:p>
      <w:pPr>
        <w:spacing w:line="360" w:lineRule="auto"/>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“基于玻碳纳米微球低成本、快速、高灵敏检测癌症标志物（前列腺特异性抗原，</w:t>
      </w:r>
      <w:r>
        <w:rPr>
          <w:rFonts w:ascii="仿宋" w:hAnsi="仿宋" w:eastAsia="仿宋"/>
          <w:sz w:val="24"/>
        </w:rPr>
        <w:t>PSA</w:t>
      </w:r>
      <w:r>
        <w:rPr>
          <w:rFonts w:hint="eastAsia" w:ascii="仿宋" w:hAnsi="仿宋" w:eastAsia="仿宋"/>
          <w:sz w:val="24"/>
        </w:rPr>
        <w:t>）免疫试纸条技术”；</w:t>
      </w:r>
    </w:p>
    <w:p>
      <w:pPr>
        <w:spacing w:line="360" w:lineRule="auto"/>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“基于新型</w:t>
      </w:r>
      <w:r>
        <w:rPr>
          <w:rFonts w:ascii="仿宋" w:hAnsi="仿宋" w:eastAsia="仿宋"/>
          <w:sz w:val="24"/>
        </w:rPr>
        <w:t>Ce2Sn2O7</w:t>
      </w:r>
      <w:r>
        <w:rPr>
          <w:rFonts w:hint="eastAsia" w:ascii="仿宋" w:hAnsi="仿宋" w:eastAsia="仿宋"/>
          <w:sz w:val="24"/>
        </w:rPr>
        <w:t>纳米立方体电致化学发光高灵敏免疫检测（癌胚抗原，</w:t>
      </w:r>
      <w:r>
        <w:rPr>
          <w:rFonts w:ascii="仿宋" w:hAnsi="仿宋" w:eastAsia="仿宋"/>
          <w:sz w:val="24"/>
        </w:rPr>
        <w:t>CEA</w:t>
      </w:r>
      <w:r>
        <w:rPr>
          <w:rFonts w:hint="eastAsia" w:ascii="仿宋" w:hAnsi="仿宋" w:eastAsia="仿宋"/>
          <w:sz w:val="24"/>
        </w:rPr>
        <w:t>）技术”；</w:t>
      </w:r>
    </w:p>
    <w:p>
      <w:pPr>
        <w:spacing w:line="360" w:lineRule="auto"/>
        <w:ind w:firstLine="480" w:firstLineChars="200"/>
        <w:rPr>
          <w:rFonts w:ascii="仿宋" w:hAnsi="仿宋" w:eastAsia="仿宋"/>
          <w:sz w:val="24"/>
        </w:rPr>
      </w:pPr>
      <w:r>
        <w:rPr>
          <w:rFonts w:ascii="仿宋" w:hAnsi="仿宋" w:eastAsia="仿宋"/>
          <w:sz w:val="24"/>
        </w:rPr>
        <w:t>3.</w:t>
      </w:r>
      <w:r>
        <w:rPr>
          <w:rFonts w:hint="eastAsia" w:ascii="仿宋" w:hAnsi="仿宋" w:eastAsia="仿宋"/>
          <w:sz w:val="24"/>
        </w:rPr>
        <w:t>“基于类富勒烯微纳结构的电致化学发光高灵敏免疫检测肿瘤标志物（</w:t>
      </w:r>
      <w:r>
        <w:rPr>
          <w:rFonts w:ascii="仿宋" w:hAnsi="仿宋" w:eastAsia="仿宋"/>
          <w:sz w:val="24"/>
        </w:rPr>
        <w:t>PSA</w:t>
      </w:r>
      <w:r>
        <w:rPr>
          <w:rFonts w:hint="eastAsia" w:ascii="仿宋" w:hAnsi="仿宋" w:eastAsia="仿宋"/>
          <w:sz w:val="24"/>
        </w:rPr>
        <w:t>）技术”；</w:t>
      </w:r>
    </w:p>
    <w:p>
      <w:pPr>
        <w:spacing w:line="360" w:lineRule="auto"/>
        <w:ind w:firstLine="480" w:firstLineChars="200"/>
        <w:rPr>
          <w:rFonts w:ascii="仿宋" w:hAnsi="仿宋" w:eastAsia="仿宋"/>
          <w:sz w:val="24"/>
        </w:rPr>
      </w:pPr>
      <w:r>
        <w:rPr>
          <w:rFonts w:ascii="仿宋" w:hAnsi="仿宋" w:eastAsia="仿宋"/>
          <w:sz w:val="24"/>
        </w:rPr>
        <w:t>4.</w:t>
      </w:r>
      <w:r>
        <w:rPr>
          <w:rFonts w:hint="eastAsia" w:ascii="仿宋" w:hAnsi="仿宋" w:eastAsia="仿宋"/>
          <w:sz w:val="24"/>
        </w:rPr>
        <w:t>“纳米铂催化生成黑色有机纳米线放大免疫监测肿瘤标志物（</w:t>
      </w:r>
      <w:r>
        <w:rPr>
          <w:rFonts w:ascii="仿宋" w:hAnsi="仿宋" w:eastAsia="仿宋"/>
          <w:sz w:val="24"/>
        </w:rPr>
        <w:t>HCG</w:t>
      </w:r>
      <w:r>
        <w:rPr>
          <w:rFonts w:hint="eastAsia" w:ascii="仿宋" w:hAnsi="仿宋" w:eastAsia="仿宋"/>
          <w:sz w:val="24"/>
        </w:rPr>
        <w:t>）信号技术”；</w:t>
      </w:r>
    </w:p>
    <w:p>
      <w:pPr>
        <w:spacing w:line="360" w:lineRule="auto"/>
        <w:ind w:firstLine="480" w:firstLineChars="200"/>
        <w:rPr>
          <w:rFonts w:ascii="仿宋" w:hAnsi="仿宋" w:eastAsia="仿宋"/>
          <w:sz w:val="24"/>
        </w:rPr>
      </w:pPr>
      <w:r>
        <w:rPr>
          <w:rFonts w:ascii="仿宋" w:hAnsi="仿宋" w:eastAsia="仿宋"/>
          <w:sz w:val="24"/>
        </w:rPr>
        <w:t xml:space="preserve">5. </w:t>
      </w:r>
      <w:r>
        <w:rPr>
          <w:rFonts w:hint="eastAsia" w:ascii="仿宋" w:hAnsi="仿宋" w:eastAsia="仿宋"/>
          <w:sz w:val="24"/>
        </w:rPr>
        <w:t>“新型高灵敏表面增强拉曼（</w:t>
      </w:r>
      <w:r>
        <w:rPr>
          <w:rFonts w:ascii="仿宋" w:hAnsi="仿宋" w:eastAsia="仿宋"/>
          <w:sz w:val="24"/>
        </w:rPr>
        <w:t>SERS</w:t>
      </w:r>
      <w:r>
        <w:rPr>
          <w:rFonts w:hint="eastAsia" w:ascii="仿宋" w:hAnsi="仿宋" w:eastAsia="仿宋"/>
          <w:sz w:val="24"/>
        </w:rPr>
        <w:t>）免疫试纸条快速检测肿瘤标志物技术”；</w:t>
      </w:r>
    </w:p>
    <w:p>
      <w:pPr>
        <w:spacing w:line="360" w:lineRule="auto"/>
        <w:ind w:firstLine="480" w:firstLineChars="200"/>
        <w:rPr>
          <w:rFonts w:ascii="仿宋" w:hAnsi="仿宋" w:eastAsia="仿宋"/>
          <w:sz w:val="24"/>
        </w:rPr>
      </w:pPr>
      <w:r>
        <w:rPr>
          <w:rFonts w:ascii="仿宋" w:hAnsi="仿宋" w:eastAsia="仿宋"/>
          <w:sz w:val="24"/>
        </w:rPr>
        <w:t xml:space="preserve">6. </w:t>
      </w:r>
      <w:r>
        <w:rPr>
          <w:rFonts w:hint="eastAsia" w:ascii="仿宋" w:hAnsi="仿宋" w:eastAsia="仿宋"/>
          <w:sz w:val="24"/>
        </w:rPr>
        <w:t>“新型高灵敏纳米荧光试纸条快速检测肿瘤标志物技术”；</w:t>
      </w:r>
    </w:p>
    <w:p>
      <w:pPr>
        <w:spacing w:line="360" w:lineRule="auto"/>
        <w:ind w:firstLine="480" w:firstLineChars="200"/>
        <w:rPr>
          <w:rFonts w:ascii="仿宋" w:hAnsi="仿宋" w:eastAsia="仿宋"/>
          <w:sz w:val="24"/>
        </w:rPr>
      </w:pPr>
      <w:r>
        <w:rPr>
          <w:rFonts w:ascii="仿宋" w:hAnsi="仿宋" w:eastAsia="仿宋"/>
          <w:sz w:val="24"/>
        </w:rPr>
        <w:t xml:space="preserve">7. </w:t>
      </w:r>
      <w:r>
        <w:rPr>
          <w:rFonts w:hint="eastAsia" w:ascii="仿宋" w:hAnsi="仿宋" w:eastAsia="仿宋"/>
          <w:sz w:val="24"/>
        </w:rPr>
        <w:t>“基于电致化学发光（</w:t>
      </w:r>
      <w:r>
        <w:rPr>
          <w:rFonts w:ascii="仿宋" w:hAnsi="仿宋" w:eastAsia="仿宋"/>
          <w:sz w:val="24"/>
        </w:rPr>
        <w:t>ECL</w:t>
      </w:r>
      <w:r>
        <w:rPr>
          <w:rFonts w:hint="eastAsia" w:ascii="仿宋" w:hAnsi="仿宋" w:eastAsia="仿宋"/>
          <w:sz w:val="24"/>
        </w:rPr>
        <w:t>）阵列成像的高通量、自动化临床免疫检测技术”。</w:t>
      </w:r>
    </w:p>
    <w:p>
      <w:pPr>
        <w:spacing w:line="360" w:lineRule="auto"/>
        <w:ind w:firstLine="480" w:firstLineChars="200"/>
        <w:rPr>
          <w:rFonts w:ascii="仿宋" w:hAnsi="仿宋" w:eastAsia="仿宋"/>
          <w:sz w:val="24"/>
        </w:rPr>
      </w:pPr>
      <w:r>
        <w:rPr>
          <w:rFonts w:hint="eastAsia" w:ascii="仿宋" w:hAnsi="仿宋" w:eastAsia="仿宋"/>
          <w:sz w:val="24"/>
        </w:rPr>
        <w:t>以上基于先进纳米传感的医疗监测技术有的可以实现对单个肿瘤标志物的快速低成本检测，有的可实现对几十种至几百种目标物进行同时、可视化、自动检测。展望将来这些低成本、快速、高通量医疗监测技术与人工智能、</w:t>
      </w:r>
      <w:r>
        <w:rPr>
          <w:rFonts w:ascii="仿宋" w:hAnsi="仿宋" w:eastAsia="仿宋"/>
          <w:sz w:val="24"/>
        </w:rPr>
        <w:t>5G</w:t>
      </w:r>
      <w:r>
        <w:rPr>
          <w:rFonts w:hint="eastAsia" w:ascii="仿宋" w:hAnsi="仿宋" w:eastAsia="仿宋"/>
          <w:sz w:val="24"/>
        </w:rPr>
        <w:t>甚至</w:t>
      </w:r>
      <w:r>
        <w:rPr>
          <w:rFonts w:ascii="仿宋" w:hAnsi="仿宋" w:eastAsia="仿宋"/>
          <w:sz w:val="24"/>
        </w:rPr>
        <w:t>6G</w:t>
      </w:r>
      <w:r>
        <w:rPr>
          <w:rFonts w:hint="eastAsia" w:ascii="仿宋" w:hAnsi="仿宋" w:eastAsia="仿宋"/>
          <w:sz w:val="24"/>
        </w:rPr>
        <w:t>网络结合，可实现对个体进行日常、多场合、实时、智慧的疾病诊断，以及个性化健康评估、预测与建议。</w:t>
      </w:r>
    </w:p>
    <w:p>
      <w:pPr>
        <w:spacing w:line="360" w:lineRule="auto"/>
        <w:rPr>
          <w:rFonts w:ascii="仿宋" w:hAnsi="仿宋" w:eastAsia="仿宋"/>
          <w:b/>
          <w:sz w:val="24"/>
        </w:rPr>
      </w:pPr>
      <w:r>
        <w:rPr>
          <w:rFonts w:hint="eastAsia" w:ascii="仿宋" w:hAnsi="仿宋" w:eastAsia="仿宋"/>
          <w:b/>
          <w:sz w:val="24"/>
        </w:rPr>
        <w:t>（六）快充型高性能</w:t>
      </w:r>
      <w:r>
        <w:rPr>
          <w:rFonts w:ascii="仿宋" w:hAnsi="仿宋" w:eastAsia="仿宋"/>
          <w:b/>
          <w:sz w:val="24"/>
        </w:rPr>
        <w:t>TiO2(B)</w:t>
      </w:r>
      <w:r>
        <w:rPr>
          <w:rFonts w:hint="eastAsia" w:ascii="仿宋" w:hAnsi="仿宋" w:eastAsia="仿宋"/>
          <w:b/>
          <w:sz w:val="24"/>
        </w:rPr>
        <w:t>锂离子电池负极材料</w:t>
      </w:r>
    </w:p>
    <w:p>
      <w:pPr>
        <w:spacing w:line="360" w:lineRule="auto"/>
        <w:ind w:firstLine="2880" w:firstLineChars="1200"/>
        <w:rPr>
          <w:rFonts w:ascii="仿宋" w:hAnsi="仿宋" w:eastAsia="仿宋"/>
          <w:sz w:val="24"/>
        </w:rPr>
      </w:pPr>
      <w:r>
        <w:rPr>
          <w:rFonts w:ascii="仿宋" w:hAnsi="仿宋" w:eastAsia="仿宋"/>
          <w:sz w:val="24"/>
        </w:rPr>
        <w:t>——</w:t>
      </w:r>
      <w:r>
        <w:rPr>
          <w:rFonts w:hint="eastAsia" w:ascii="仿宋" w:hAnsi="仿宋" w:eastAsia="仿宋"/>
          <w:sz w:val="24"/>
        </w:rPr>
        <w:t>魏明灯教授</w:t>
      </w:r>
    </w:p>
    <w:p>
      <w:pPr>
        <w:spacing w:line="360" w:lineRule="auto"/>
        <w:ind w:firstLine="1320" w:firstLineChars="550"/>
        <w:rPr>
          <w:rFonts w:ascii="仿宋" w:hAnsi="仿宋" w:eastAsia="仿宋"/>
          <w:sz w:val="24"/>
        </w:rPr>
      </w:pPr>
      <w:r>
        <w:rPr>
          <w:rFonts w:hint="eastAsia" w:ascii="仿宋" w:hAnsi="仿宋" w:eastAsia="仿宋"/>
          <w:sz w:val="24"/>
        </w:rPr>
        <w:t>福州大学化学学院、福建省电化学储能材料重点实验室</w:t>
      </w:r>
    </w:p>
    <w:p>
      <w:pPr>
        <w:spacing w:line="360" w:lineRule="auto"/>
        <w:ind w:firstLine="480" w:firstLineChars="200"/>
        <w:rPr>
          <w:rFonts w:ascii="仿宋" w:hAnsi="仿宋" w:eastAsia="仿宋"/>
          <w:sz w:val="24"/>
        </w:rPr>
      </w:pPr>
      <w:r>
        <w:rPr>
          <w:rFonts w:hint="eastAsia" w:ascii="仿宋" w:hAnsi="仿宋" w:eastAsia="仿宋"/>
          <w:sz w:val="24"/>
        </w:rPr>
        <w:t>商业化的锂离子电池负极材料石墨存在安全隐患和能耗高，而钛酸锂的容量等缺点，从而影响锂离子电池的推广使用。我们通过调控反应调控，研制出暴露特定晶面的</w:t>
      </w:r>
      <w:r>
        <w:rPr>
          <w:rFonts w:ascii="仿宋" w:hAnsi="仿宋" w:eastAsia="仿宋"/>
          <w:sz w:val="24"/>
        </w:rPr>
        <w:t>TiO2(B)</w:t>
      </w:r>
      <w:r>
        <w:rPr>
          <w:rFonts w:hint="eastAsia" w:ascii="仿宋" w:hAnsi="仿宋" w:eastAsia="仿宋"/>
          <w:sz w:val="24"/>
        </w:rPr>
        <w:t>，并构建了精准制备体系。作为锂离子电池负极材料，在</w:t>
      </w:r>
      <w:r>
        <w:rPr>
          <w:rFonts w:ascii="仿宋" w:hAnsi="仿宋" w:eastAsia="仿宋"/>
          <w:sz w:val="24"/>
        </w:rPr>
        <w:t>0.5C</w:t>
      </w:r>
      <w:r>
        <w:rPr>
          <w:rFonts w:hint="eastAsia" w:ascii="仿宋" w:hAnsi="仿宋" w:eastAsia="仿宋"/>
          <w:sz w:val="24"/>
        </w:rPr>
        <w:t>倍率下，首次放电和充电容量分别为</w:t>
      </w:r>
      <w:r>
        <w:rPr>
          <w:rFonts w:ascii="仿宋" w:hAnsi="仿宋" w:eastAsia="仿宋"/>
          <w:sz w:val="24"/>
        </w:rPr>
        <w:t>281.9</w:t>
      </w:r>
      <w:r>
        <w:rPr>
          <w:rFonts w:hint="eastAsia" w:ascii="仿宋" w:hAnsi="仿宋" w:eastAsia="仿宋"/>
          <w:sz w:val="24"/>
        </w:rPr>
        <w:t>和</w:t>
      </w:r>
      <w:r>
        <w:rPr>
          <w:rFonts w:ascii="仿宋" w:hAnsi="仿宋" w:eastAsia="仿宋"/>
          <w:sz w:val="24"/>
        </w:rPr>
        <w:t>246.2mAh/g</w:t>
      </w:r>
      <w:r>
        <w:rPr>
          <w:rFonts w:hint="eastAsia" w:ascii="仿宋" w:hAnsi="仿宋" w:eastAsia="仿宋"/>
          <w:sz w:val="24"/>
        </w:rPr>
        <w:t>，首次库伦效率达</w:t>
      </w:r>
      <w:r>
        <w:rPr>
          <w:rFonts w:ascii="仿宋" w:hAnsi="仿宋" w:eastAsia="仿宋"/>
          <w:sz w:val="24"/>
        </w:rPr>
        <w:t>87.4%</w:t>
      </w:r>
      <w:r>
        <w:rPr>
          <w:rFonts w:hint="eastAsia" w:ascii="仿宋" w:hAnsi="仿宋" w:eastAsia="仿宋"/>
          <w:sz w:val="24"/>
        </w:rPr>
        <w:t>。尤其是，其平台的容量超过</w:t>
      </w:r>
      <w:r>
        <w:rPr>
          <w:rFonts w:ascii="仿宋" w:hAnsi="仿宋" w:eastAsia="仿宋"/>
          <w:sz w:val="24"/>
        </w:rPr>
        <w:t>200mAh/g</w:t>
      </w:r>
      <w:r>
        <w:rPr>
          <w:rFonts w:hint="eastAsia" w:ascii="仿宋" w:hAnsi="仿宋" w:eastAsia="仿宋"/>
          <w:sz w:val="24"/>
        </w:rPr>
        <w:t>，远大于钛酸锂的理论容量</w:t>
      </w:r>
      <w:r>
        <w:rPr>
          <w:rFonts w:ascii="仿宋" w:hAnsi="仿宋" w:eastAsia="仿宋"/>
          <w:sz w:val="24"/>
        </w:rPr>
        <w:t xml:space="preserve">175mAh/g. </w:t>
      </w:r>
      <w:r>
        <w:rPr>
          <w:rFonts w:hint="eastAsia" w:ascii="仿宋" w:hAnsi="仿宋" w:eastAsia="仿宋"/>
          <w:sz w:val="24"/>
        </w:rPr>
        <w:t>即使在</w:t>
      </w:r>
      <w:r>
        <w:rPr>
          <w:rFonts w:ascii="仿宋" w:hAnsi="仿宋" w:eastAsia="仿宋"/>
          <w:sz w:val="24"/>
        </w:rPr>
        <w:t>10C</w:t>
      </w:r>
      <w:r>
        <w:rPr>
          <w:rFonts w:hint="eastAsia" w:ascii="仿宋" w:hAnsi="仿宋" w:eastAsia="仿宋"/>
          <w:sz w:val="24"/>
        </w:rPr>
        <w:t>下循环</w:t>
      </w:r>
      <w:r>
        <w:rPr>
          <w:rFonts w:ascii="仿宋" w:hAnsi="仿宋" w:eastAsia="仿宋"/>
          <w:sz w:val="24"/>
        </w:rPr>
        <w:t>3000</w:t>
      </w:r>
      <w:r>
        <w:rPr>
          <w:rFonts w:hint="eastAsia" w:ascii="仿宋" w:hAnsi="仿宋" w:eastAsia="仿宋"/>
          <w:sz w:val="24"/>
        </w:rPr>
        <w:t>次后，容量可以保持</w:t>
      </w:r>
      <w:r>
        <w:rPr>
          <w:rFonts w:ascii="仿宋" w:hAnsi="仿宋" w:eastAsia="仿宋"/>
          <w:sz w:val="24"/>
        </w:rPr>
        <w:t>200 mAh/g</w:t>
      </w:r>
      <w:r>
        <w:rPr>
          <w:rFonts w:hint="eastAsia" w:ascii="仿宋" w:hAnsi="仿宋" w:eastAsia="仿宋"/>
          <w:sz w:val="24"/>
        </w:rPr>
        <w:t>以上，展现出优异的大倍率性能。因此，本成果可以替代石墨和钛酸锂，成为快充型高性能的锂离子负极材料。</w:t>
      </w:r>
    </w:p>
    <w:p>
      <w:pPr>
        <w:spacing w:line="360" w:lineRule="auto"/>
        <w:ind w:firstLine="480" w:firstLineChars="200"/>
        <w:rPr>
          <w:rFonts w:ascii="仿宋" w:hAnsi="仿宋" w:eastAsia="仿宋"/>
          <w:sz w:val="24"/>
        </w:rPr>
      </w:pPr>
      <w:r>
        <w:rPr>
          <w:rFonts w:hint="eastAsia" w:ascii="仿宋" w:hAnsi="仿宋" w:eastAsia="仿宋"/>
          <w:sz w:val="24"/>
        </w:rPr>
        <w:t>研究成果已申请多件中国发明专利，且已完成实验室研制，寻求企业合作开展规模化实验。</w:t>
      </w:r>
    </w:p>
    <w:p>
      <w:pPr>
        <w:spacing w:line="360" w:lineRule="auto"/>
        <w:ind w:firstLine="480" w:firstLineChars="200"/>
        <w:rPr>
          <w:rFonts w:ascii="仿宋" w:hAnsi="仿宋" w:eastAsia="仿宋"/>
          <w:sz w:val="24"/>
        </w:rPr>
      </w:pPr>
      <w:r>
        <w:rPr>
          <w:rFonts w:hint="eastAsia" w:ascii="仿宋" w:hAnsi="仿宋" w:eastAsia="仿宋"/>
          <w:sz w:val="24"/>
        </w:rPr>
        <w:t>样品委托省内锂电池企业测试结果如下：</w:t>
      </w:r>
    </w:p>
    <w:p>
      <w:pPr>
        <w:jc w:val="center"/>
        <w:rPr>
          <w:sz w:val="24"/>
          <w:szCs w:val="24"/>
        </w:rPr>
      </w:pPr>
      <w:r>
        <w:rPr>
          <w:sz w:val="24"/>
          <w:szCs w:val="24"/>
        </w:rPr>
        <w:drawing>
          <wp:inline distT="0" distB="0" distL="114300" distR="114300">
            <wp:extent cx="4324350" cy="2524125"/>
            <wp:effectExtent l="0" t="0" r="0" b="9525"/>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pic:cNvPicPr>
                  </pic:nvPicPr>
                  <pic:blipFill>
                    <a:blip r:embed="rId11"/>
                    <a:stretch>
                      <a:fillRect/>
                    </a:stretch>
                  </pic:blipFill>
                  <pic:spPr>
                    <a:xfrm>
                      <a:off x="0" y="0"/>
                      <a:ext cx="4324350" cy="2524125"/>
                    </a:xfrm>
                    <a:prstGeom prst="rect">
                      <a:avLst/>
                    </a:prstGeom>
                    <a:noFill/>
                    <a:ln w="9525">
                      <a:noFill/>
                    </a:ln>
                  </pic:spPr>
                </pic:pic>
              </a:graphicData>
            </a:graphic>
          </wp:inline>
        </w:drawing>
      </w:r>
    </w:p>
    <w:p>
      <w:pPr>
        <w:rPr>
          <w:sz w:val="20"/>
          <w:szCs w:val="21"/>
        </w:rPr>
      </w:pPr>
    </w:p>
    <w:p>
      <w:pPr>
        <w:spacing w:line="400" w:lineRule="exact"/>
        <w:jc w:val="left"/>
        <w:rPr>
          <w:rFonts w:ascii="黑体" w:hAnsi="黑体" w:eastAsia="黑体"/>
          <w:b/>
          <w:sz w:val="32"/>
          <w:szCs w:val="32"/>
        </w:rPr>
      </w:pPr>
      <w:r>
        <w:rPr>
          <w:rFonts w:hint="eastAsia" w:ascii="黑体" w:hAnsi="黑体" w:eastAsia="黑体" w:cs="黑体"/>
          <w:bCs/>
          <w:sz w:val="32"/>
          <w:szCs w:val="28"/>
        </w:rPr>
        <w:t>二、福建师范大学科技成果（</w:t>
      </w:r>
      <w:r>
        <w:rPr>
          <w:rFonts w:ascii="黑体" w:hAnsi="黑体" w:eastAsia="黑体" w:cs="黑体"/>
          <w:bCs/>
          <w:sz w:val="32"/>
          <w:szCs w:val="28"/>
        </w:rPr>
        <w:t>8</w:t>
      </w:r>
      <w:r>
        <w:rPr>
          <w:rFonts w:hint="eastAsia" w:ascii="黑体" w:hAnsi="黑体" w:eastAsia="黑体" w:cs="黑体"/>
          <w:bCs/>
          <w:sz w:val="32"/>
          <w:szCs w:val="28"/>
        </w:rPr>
        <w:t>项）</w:t>
      </w:r>
    </w:p>
    <w:p>
      <w:pPr>
        <w:spacing w:line="360" w:lineRule="auto"/>
        <w:rPr>
          <w:rFonts w:ascii="仿宋" w:hAnsi="仿宋" w:eastAsia="仿宋"/>
          <w:b/>
          <w:sz w:val="24"/>
        </w:rPr>
      </w:pPr>
      <w:r>
        <w:rPr>
          <w:rFonts w:hint="eastAsia" w:ascii="仿宋" w:hAnsi="仿宋" w:eastAsia="仿宋"/>
          <w:b/>
          <w:sz w:val="24"/>
        </w:rPr>
        <w:t>（一）新型高效低温冷链物品消毒技术及综合保障装备――“破冰者”</w:t>
      </w:r>
    </w:p>
    <w:p>
      <w:pPr>
        <w:spacing w:line="360" w:lineRule="auto"/>
        <w:ind w:firstLine="720" w:firstLineChars="300"/>
        <w:jc w:val="center"/>
        <w:rPr>
          <w:rFonts w:ascii="仿宋" w:hAnsi="仿宋" w:eastAsia="仿宋"/>
          <w:sz w:val="24"/>
        </w:rPr>
      </w:pPr>
      <w:r>
        <w:rPr>
          <w:rFonts w:ascii="仿宋" w:hAnsi="仿宋" w:eastAsia="仿宋"/>
          <w:sz w:val="24"/>
        </w:rPr>
        <w:t>——</w:t>
      </w:r>
      <w:r>
        <w:rPr>
          <w:rFonts w:hint="eastAsia" w:ascii="仿宋" w:hAnsi="仿宋" w:eastAsia="仿宋"/>
          <w:sz w:val="24"/>
        </w:rPr>
        <w:t>欧阳松应教授</w:t>
      </w:r>
    </w:p>
    <w:p>
      <w:pPr>
        <w:ind w:firstLine="480" w:firstLineChars="200"/>
        <w:jc w:val="left"/>
        <w:rPr>
          <w:rFonts w:ascii="仿宋" w:hAnsi="仿宋" w:eastAsia="仿宋"/>
          <w:sz w:val="24"/>
        </w:rPr>
      </w:pPr>
      <w:r>
        <w:rPr>
          <w:rFonts w:hint="eastAsia" w:ascii="仿宋" w:hAnsi="仿宋" w:eastAsia="仿宋"/>
          <w:sz w:val="24"/>
        </w:rPr>
        <w:t>目前，我国的疫情防控已得到基本控制，随着疫苗的普及，“人防”方面已基本建立完善体系，但“物防”方面却防不胜防。近期多家权威媒体报道，我国北京、青岛、天津等多地频频出现冷链食品及其外包装新冠病毒核酸检测呈阳性，冷链食品已成为疫情传播的高风险载体，冷链食品管控及消杀成为疫情防控的重中之重。</w:t>
      </w:r>
    </w:p>
    <w:p>
      <w:pPr>
        <w:ind w:firstLine="480" w:firstLineChars="200"/>
        <w:jc w:val="left"/>
        <w:rPr>
          <w:rFonts w:ascii="仿宋" w:hAnsi="仿宋" w:eastAsia="仿宋"/>
          <w:sz w:val="24"/>
        </w:rPr>
      </w:pPr>
      <w:r>
        <w:rPr>
          <w:rFonts w:hint="eastAsia" w:ascii="仿宋" w:hAnsi="仿宋" w:eastAsia="仿宋"/>
          <w:sz w:val="24"/>
        </w:rPr>
        <w:t>目前市场上冷链食品消杀主要采用人工喷洒化学消毒剂的方式，此种方法存在消杀率低、耗时长、有残留、人力投入大、影响工作人员健康、对环境有污染等问题，同时核酸检测中出现“假阳性”现象也未能解决，对疫情下“物防”工作带来极大的挑战，因此市场急需一种更为高效安全的冷链消杀技术。</w:t>
      </w:r>
    </w:p>
    <w:p>
      <w:pPr>
        <w:ind w:firstLine="480" w:firstLineChars="200"/>
        <w:jc w:val="left"/>
        <w:rPr>
          <w:rFonts w:ascii="仿宋" w:hAnsi="仿宋" w:eastAsia="仿宋"/>
          <w:sz w:val="24"/>
        </w:rPr>
      </w:pPr>
      <w:r>
        <w:rPr>
          <w:rFonts w:hint="eastAsia" w:ascii="仿宋" w:hAnsi="仿宋" w:eastAsia="仿宋"/>
          <w:sz w:val="24"/>
        </w:rPr>
        <w:t>“破冰者”是一套全方位高效低温冷链消杀系统，通过一体式传送模块装载货物，在全方位低能电子束消杀模块中首次应用单个辐照头，结合智能翻转技术，对货物进行</w:t>
      </w:r>
      <w:r>
        <w:rPr>
          <w:rFonts w:ascii="仿宋" w:hAnsi="仿宋" w:eastAsia="仿宋"/>
          <w:sz w:val="24"/>
        </w:rPr>
        <w:t>360</w:t>
      </w:r>
      <w:r>
        <w:rPr>
          <w:rFonts w:hint="eastAsia" w:ascii="仿宋" w:hAnsi="仿宋" w:eastAsia="仿宋"/>
          <w:sz w:val="24"/>
        </w:rPr>
        <w:t>°全方位消杀，并通过数字化总控模块控制设备运行状态、检测消杀进度及统计消杀数量。“破冰者”消杀范围广，可实现对尺寸不同、重量不同的低温物品外表面进行全方位消杀，且能实现对外包装上的新型冠状病毒有效消灭，使每件消杀过的商品都满足市场流通要求。同时，该设备消杀效率高，每件常规货物仅需</w:t>
      </w:r>
      <w:r>
        <w:rPr>
          <w:rFonts w:ascii="仿宋" w:hAnsi="仿宋" w:eastAsia="仿宋"/>
          <w:sz w:val="24"/>
        </w:rPr>
        <w:t>2-3</w:t>
      </w:r>
      <w:r>
        <w:rPr>
          <w:rFonts w:hint="eastAsia" w:ascii="仿宋" w:hAnsi="仿宋" w:eastAsia="仿宋"/>
          <w:sz w:val="24"/>
        </w:rPr>
        <w:t>秒，且对食品品质不造成影响，符合食品卫生安全标准。此外，该设备消杀对物品外包装箱无腐蚀或轻度腐蚀，外包装标识字迹不褪色。再者，该设备实现自动化作业和采用远程智能控制系统，可以有效保障操作人员的身体健康问题。</w:t>
      </w:r>
    </w:p>
    <w:p>
      <w:pPr>
        <w:spacing w:line="360" w:lineRule="auto"/>
        <w:jc w:val="left"/>
        <w:rPr>
          <w:rFonts w:ascii="仿宋" w:hAnsi="仿宋" w:eastAsia="仿宋"/>
          <w:b/>
          <w:sz w:val="24"/>
        </w:rPr>
      </w:pPr>
      <w:r>
        <w:rPr>
          <w:rFonts w:hint="eastAsia" w:ascii="仿宋" w:hAnsi="仿宋" w:eastAsia="仿宋"/>
          <w:b/>
          <w:sz w:val="24"/>
        </w:rPr>
        <w:t>（二）合成生物技术生产快乐神经递质血清素新工艺</w:t>
      </w:r>
    </w:p>
    <w:p>
      <w:pPr>
        <w:spacing w:line="360" w:lineRule="auto"/>
        <w:ind w:firstLine="480" w:firstLineChars="200"/>
        <w:jc w:val="center"/>
        <w:rPr>
          <w:rFonts w:ascii="仿宋" w:hAnsi="仿宋" w:eastAsia="仿宋"/>
          <w:sz w:val="24"/>
        </w:rPr>
      </w:pPr>
      <w:r>
        <w:rPr>
          <w:rFonts w:ascii="仿宋" w:hAnsi="仿宋" w:eastAsia="仿宋"/>
          <w:sz w:val="24"/>
        </w:rPr>
        <w:t>——</w:t>
      </w:r>
      <w:r>
        <w:rPr>
          <w:rFonts w:hint="eastAsia" w:ascii="仿宋" w:hAnsi="仿宋" w:eastAsia="仿宋"/>
          <w:sz w:val="24"/>
        </w:rPr>
        <w:t>祁峰教授</w:t>
      </w:r>
    </w:p>
    <w:p>
      <w:pPr>
        <w:spacing w:line="360" w:lineRule="auto"/>
        <w:ind w:firstLine="480" w:firstLineChars="200"/>
        <w:rPr>
          <w:rFonts w:ascii="仿宋" w:hAnsi="仿宋" w:eastAsia="仿宋"/>
          <w:sz w:val="24"/>
        </w:rPr>
      </w:pPr>
      <w:r>
        <w:rPr>
          <w:rFonts w:hint="eastAsia" w:ascii="仿宋" w:hAnsi="仿宋" w:eastAsia="仿宋"/>
          <w:sz w:val="24"/>
        </w:rPr>
        <w:t>血清素最早是在血清中发现的，其广泛地存在于哺乳动物的组织和器官中，也有报道在植物体内发现血清素的合成。血清素具有多种生理功能，在临床和制药领域具有较多应用，如调控情绪、管理行为、维持睡眠周期、清除体内有害自由基等。体内血清素含量的下降会导致哺乳动物的攻击性增强。近年来还发现人体内的血清素的含量变化与炎症以及阿尔茨海默病的发生相关联。除此以外，血清素还可以影响农作物的萌发、生长、开花与结果等一系列生理过程。血清素可以通过化学合成、动植物组织提取和微生物转化合成这三种途径得到。</w:t>
      </w:r>
    </w:p>
    <w:p>
      <w:pPr>
        <w:spacing w:line="360" w:lineRule="auto"/>
        <w:ind w:firstLine="480" w:firstLineChars="200"/>
        <w:rPr>
          <w:rFonts w:ascii="仿宋" w:hAnsi="仿宋" w:eastAsia="仿宋"/>
          <w:sz w:val="24"/>
        </w:rPr>
      </w:pPr>
      <w:r>
        <w:rPr>
          <w:rFonts w:hint="eastAsia" w:ascii="仿宋" w:hAnsi="仿宋" w:eastAsia="仿宋"/>
          <w:sz w:val="24"/>
        </w:rPr>
        <w:t>血清素的化学合成法方法繁琐，步骤冗长，需要消耗消耗大量能量且易造成环境的污染。虽然近年来对其进行了简化，将工艺路线进行了缩短，但是仍然无法避免大量有机溶剂的使用。</w:t>
      </w:r>
    </w:p>
    <w:p>
      <w:pPr>
        <w:spacing w:line="360" w:lineRule="auto"/>
        <w:ind w:firstLine="480" w:firstLineChars="200"/>
        <w:rPr>
          <w:rFonts w:ascii="仿宋" w:hAnsi="仿宋" w:eastAsia="仿宋"/>
          <w:sz w:val="24"/>
        </w:rPr>
      </w:pPr>
      <w:r>
        <w:rPr>
          <w:rFonts w:hint="eastAsia" w:ascii="仿宋" w:hAnsi="仿宋" w:eastAsia="仿宋"/>
          <w:sz w:val="24"/>
        </w:rPr>
        <w:t>血清素可由前体</w:t>
      </w:r>
      <w:r>
        <w:rPr>
          <w:rFonts w:ascii="仿宋" w:hAnsi="仿宋" w:eastAsia="仿宋"/>
          <w:sz w:val="24"/>
        </w:rPr>
        <w:t>5-</w:t>
      </w:r>
      <w:r>
        <w:rPr>
          <w:rFonts w:hint="eastAsia" w:ascii="仿宋" w:hAnsi="仿宋" w:eastAsia="仿宋"/>
          <w:sz w:val="24"/>
        </w:rPr>
        <w:t>羟基色氨酸（</w:t>
      </w:r>
      <w:r>
        <w:rPr>
          <w:rFonts w:ascii="仿宋" w:hAnsi="仿宋" w:eastAsia="仿宋"/>
          <w:sz w:val="24"/>
        </w:rPr>
        <w:t>5-Hydroxytryptophan</w:t>
      </w:r>
      <w:r>
        <w:rPr>
          <w:rFonts w:hint="eastAsia" w:ascii="仿宋" w:hAnsi="仿宋" w:eastAsia="仿宋"/>
          <w:sz w:val="24"/>
        </w:rPr>
        <w:t>，</w:t>
      </w:r>
      <w:r>
        <w:rPr>
          <w:rFonts w:ascii="仿宋" w:hAnsi="仿宋" w:eastAsia="仿宋"/>
          <w:sz w:val="24"/>
        </w:rPr>
        <w:t>5-HTP</w:t>
      </w:r>
      <w:r>
        <w:rPr>
          <w:rFonts w:hint="eastAsia" w:ascii="仿宋" w:hAnsi="仿宋" w:eastAsia="仿宋"/>
          <w:sz w:val="24"/>
        </w:rPr>
        <w:t>）经过一步转化获得，而</w:t>
      </w:r>
      <w:r>
        <w:rPr>
          <w:rFonts w:ascii="仿宋" w:hAnsi="仿宋" w:eastAsia="仿宋"/>
          <w:sz w:val="24"/>
        </w:rPr>
        <w:t>5-HTP</w:t>
      </w:r>
      <w:r>
        <w:rPr>
          <w:rFonts w:hint="eastAsia" w:ascii="仿宋" w:hAnsi="仿宋" w:eastAsia="仿宋"/>
          <w:sz w:val="24"/>
        </w:rPr>
        <w:t>主要依靠植物组织提取来满足当下的市场需要。</w:t>
      </w:r>
      <w:r>
        <w:rPr>
          <w:rFonts w:ascii="仿宋" w:hAnsi="仿宋" w:eastAsia="仿宋"/>
          <w:sz w:val="24"/>
        </w:rPr>
        <w:t>5-HTP</w:t>
      </w:r>
      <w:r>
        <w:rPr>
          <w:rFonts w:hint="eastAsia" w:ascii="仿宋" w:hAnsi="仿宋" w:eastAsia="仿宋"/>
          <w:sz w:val="24"/>
        </w:rPr>
        <w:t>在一种加纳谷物（</w:t>
      </w:r>
      <w:r>
        <w:rPr>
          <w:rFonts w:ascii="仿宋" w:hAnsi="仿宋" w:eastAsia="仿宋"/>
          <w:sz w:val="24"/>
        </w:rPr>
        <w:t>Griffonia simplicifolia</w:t>
      </w:r>
      <w:r>
        <w:rPr>
          <w:rFonts w:hint="eastAsia" w:ascii="仿宋" w:hAnsi="仿宋" w:eastAsia="仿宋"/>
          <w:sz w:val="24"/>
        </w:rPr>
        <w:t>）的种子中含量很高，因此该植物是目前市场上主要的</w:t>
      </w:r>
      <w:r>
        <w:rPr>
          <w:rFonts w:ascii="仿宋" w:hAnsi="仿宋" w:eastAsia="仿宋"/>
          <w:sz w:val="24"/>
        </w:rPr>
        <w:t>5-HTP</w:t>
      </w:r>
      <w:r>
        <w:rPr>
          <w:rFonts w:hint="eastAsia" w:ascii="仿宋" w:hAnsi="仿宋" w:eastAsia="仿宋"/>
          <w:sz w:val="24"/>
        </w:rPr>
        <w:t>的来源。但是该作物一年只有一次收获期，栽培的地域限制以及原材料不足严重影响了</w:t>
      </w:r>
      <w:r>
        <w:rPr>
          <w:rFonts w:ascii="仿宋" w:hAnsi="仿宋" w:eastAsia="仿宋"/>
          <w:sz w:val="24"/>
        </w:rPr>
        <w:t>5-HTP</w:t>
      </w:r>
      <w:r>
        <w:rPr>
          <w:rFonts w:hint="eastAsia" w:ascii="仿宋" w:hAnsi="仿宋" w:eastAsia="仿宋"/>
          <w:sz w:val="24"/>
        </w:rPr>
        <w:t>的工业化生产，进而影响了通过这种方法获得的血清素的产量。本研究以代谢工程常用的大肠杆菌</w:t>
      </w:r>
      <w:r>
        <w:rPr>
          <w:rFonts w:ascii="仿宋" w:hAnsi="仿宋" w:eastAsia="仿宋"/>
          <w:sz w:val="24"/>
        </w:rPr>
        <w:t>MG1655</w:t>
      </w:r>
      <w:r>
        <w:rPr>
          <w:rFonts w:hint="eastAsia" w:ascii="仿宋" w:hAnsi="仿宋" w:eastAsia="仿宋"/>
          <w:sz w:val="24"/>
        </w:rPr>
        <w:t>作为本课题的出发菌株，利用</w:t>
      </w:r>
      <w:r>
        <w:rPr>
          <w:rFonts w:ascii="仿宋" w:hAnsi="仿宋" w:eastAsia="仿宋"/>
          <w:sz w:val="24"/>
        </w:rPr>
        <w:t>CRISPR/Cas9</w:t>
      </w:r>
      <w:r>
        <w:rPr>
          <w:rFonts w:hint="eastAsia" w:ascii="仿宋" w:hAnsi="仿宋" w:eastAsia="仿宋"/>
          <w:sz w:val="24"/>
        </w:rPr>
        <w:t>的基因编辑技术敲除了编码色氨酸酶的基因</w:t>
      </w:r>
      <w:r>
        <w:rPr>
          <w:rFonts w:ascii="仿宋" w:hAnsi="仿宋" w:eastAsia="仿宋"/>
          <w:sz w:val="24"/>
        </w:rPr>
        <w:t>tnaA</w:t>
      </w:r>
      <w:r>
        <w:rPr>
          <w:rFonts w:hint="eastAsia" w:ascii="仿宋" w:hAnsi="仿宋" w:eastAsia="仿宋"/>
          <w:sz w:val="24"/>
        </w:rPr>
        <w:t>，消除底物降解对血清素产率的损耗。然后，筛选不同来源的色氨酸羟化酶和脱羧酶，获得催化活性较好的色氨酸羟化酶</w:t>
      </w:r>
      <w:r>
        <w:rPr>
          <w:rFonts w:ascii="仿宋" w:hAnsi="仿宋" w:eastAsia="仿宋"/>
          <w:sz w:val="24"/>
        </w:rPr>
        <w:t>DjTPH</w:t>
      </w:r>
      <w:r>
        <w:rPr>
          <w:rFonts w:hint="eastAsia" w:ascii="仿宋" w:hAnsi="仿宋" w:eastAsia="仿宋"/>
          <w:sz w:val="24"/>
        </w:rPr>
        <w:t>、色氨酸脱羧酶</w:t>
      </w:r>
      <w:r>
        <w:rPr>
          <w:rFonts w:ascii="仿宋" w:hAnsi="仿宋" w:eastAsia="仿宋"/>
          <w:sz w:val="24"/>
        </w:rPr>
        <w:t>CrTDC</w:t>
      </w:r>
      <w:r>
        <w:rPr>
          <w:rFonts w:hint="eastAsia" w:ascii="仿宋" w:hAnsi="仿宋" w:eastAsia="仿宋"/>
          <w:sz w:val="24"/>
        </w:rPr>
        <w:t>和多巴脱羧酶</w:t>
      </w:r>
      <w:r>
        <w:rPr>
          <w:rFonts w:ascii="仿宋" w:hAnsi="仿宋" w:eastAsia="仿宋"/>
          <w:sz w:val="24"/>
        </w:rPr>
        <w:t>SsDDC</w:t>
      </w:r>
      <w:r>
        <w:rPr>
          <w:rFonts w:hint="eastAsia" w:ascii="仿宋" w:hAnsi="仿宋" w:eastAsia="仿宋"/>
          <w:sz w:val="24"/>
        </w:rPr>
        <w:t>。接着，在菌株</w:t>
      </w:r>
      <w:r>
        <w:rPr>
          <w:rFonts w:ascii="仿宋" w:hAnsi="仿宋" w:eastAsia="仿宋"/>
          <w:sz w:val="24"/>
        </w:rPr>
        <w:t>SE12~SE18</w:t>
      </w:r>
      <w:r>
        <w:rPr>
          <w:rFonts w:hint="eastAsia" w:ascii="仿宋" w:hAnsi="仿宋" w:eastAsia="仿宋"/>
          <w:sz w:val="24"/>
        </w:rPr>
        <w:t>中串联表达羟化酶和脱羧酶，通过不同酶之间的组合以及启动子的优化，在大肠杆菌中实现了血清素的合成，产量为</w:t>
      </w:r>
      <w:r>
        <w:rPr>
          <w:rFonts w:ascii="仿宋" w:hAnsi="仿宋" w:eastAsia="仿宋"/>
          <w:sz w:val="24"/>
        </w:rPr>
        <w:t>21 mg/L</w:t>
      </w:r>
      <w:r>
        <w:rPr>
          <w:rFonts w:hint="eastAsia" w:ascii="仿宋" w:hAnsi="仿宋" w:eastAsia="仿宋"/>
          <w:sz w:val="24"/>
        </w:rPr>
        <w:t>。最后，进行了全细胞催化反应条件的优化及放大，实现了</w:t>
      </w:r>
      <w:r>
        <w:rPr>
          <w:rFonts w:ascii="仿宋" w:hAnsi="仿宋" w:eastAsia="仿宋"/>
          <w:sz w:val="24"/>
        </w:rPr>
        <w:t>191 mg/L</w:t>
      </w:r>
      <w:r>
        <w:rPr>
          <w:rFonts w:hint="eastAsia" w:ascii="仿宋" w:hAnsi="仿宋" w:eastAsia="仿宋"/>
          <w:sz w:val="24"/>
        </w:rPr>
        <w:t>的血清素的产量，产量达到优化前的</w:t>
      </w:r>
      <w:r>
        <w:rPr>
          <w:rFonts w:ascii="仿宋" w:hAnsi="仿宋" w:eastAsia="仿宋"/>
          <w:sz w:val="24"/>
        </w:rPr>
        <w:t>9</w:t>
      </w:r>
      <w:r>
        <w:rPr>
          <w:rFonts w:hint="eastAsia" w:ascii="仿宋" w:hAnsi="仿宋" w:eastAsia="仿宋"/>
          <w:sz w:val="24"/>
        </w:rPr>
        <w:t>倍，是目前已报道血清素生物合成的最高产量。</w:t>
      </w:r>
    </w:p>
    <w:p>
      <w:pPr>
        <w:spacing w:line="360" w:lineRule="auto"/>
        <w:ind w:firstLine="480" w:firstLineChars="200"/>
        <w:rPr>
          <w:rFonts w:ascii="仿宋" w:hAnsi="仿宋" w:eastAsia="仿宋"/>
          <w:sz w:val="24"/>
        </w:rPr>
      </w:pPr>
      <w:r>
        <w:rPr>
          <w:rFonts w:hint="eastAsia" w:ascii="仿宋" w:hAnsi="仿宋" w:eastAsia="仿宋"/>
          <w:sz w:val="24"/>
        </w:rPr>
        <w:t>微生物转化法利用经过代谢工程改造的大肠杆菌来生产血清素，主要通过以葡萄糖或甘油作碳源从头合成血清素，或通过全细胞催化的手段，以</w:t>
      </w:r>
      <w:r>
        <w:rPr>
          <w:rFonts w:ascii="仿宋" w:hAnsi="仿宋" w:eastAsia="仿宋"/>
          <w:sz w:val="24"/>
        </w:rPr>
        <w:t>L-</w:t>
      </w:r>
      <w:r>
        <w:rPr>
          <w:rFonts w:hint="eastAsia" w:ascii="仿宋" w:hAnsi="仿宋" w:eastAsia="仿宋"/>
          <w:sz w:val="24"/>
        </w:rPr>
        <w:t>色氨酸作底物经脱羧和羟化两步反应合成血清素。微生物法合成血清素具有污染小、副产物少、可产业化放大等优点，在未来会有较好的产业化应用前景。</w:t>
      </w:r>
    </w:p>
    <w:p>
      <w:pPr>
        <w:spacing w:line="360" w:lineRule="auto"/>
        <w:rPr>
          <w:rFonts w:ascii="仿宋" w:hAnsi="仿宋" w:eastAsia="仿宋"/>
          <w:b/>
          <w:sz w:val="24"/>
        </w:rPr>
      </w:pPr>
      <w:r>
        <w:rPr>
          <w:rFonts w:hint="eastAsia" w:ascii="仿宋" w:hAnsi="仿宋" w:eastAsia="仿宋"/>
          <w:b/>
          <w:sz w:val="24"/>
        </w:rPr>
        <w:t>（三）合成生物技术生产植物生长素</w:t>
      </w:r>
      <w:r>
        <w:rPr>
          <w:rFonts w:ascii="仿宋" w:hAnsi="仿宋" w:eastAsia="仿宋"/>
          <w:b/>
          <w:sz w:val="24"/>
        </w:rPr>
        <w:t>(</w:t>
      </w:r>
      <w:r>
        <w:rPr>
          <w:rFonts w:hint="eastAsia" w:ascii="仿宋" w:hAnsi="仿宋" w:eastAsia="仿宋"/>
          <w:b/>
          <w:sz w:val="24"/>
        </w:rPr>
        <w:t>吲哚</w:t>
      </w:r>
      <w:r>
        <w:rPr>
          <w:rFonts w:ascii="仿宋" w:hAnsi="仿宋" w:eastAsia="仿宋"/>
          <w:b/>
          <w:sz w:val="24"/>
        </w:rPr>
        <w:t>-3-</w:t>
      </w:r>
      <w:r>
        <w:rPr>
          <w:rFonts w:hint="eastAsia" w:ascii="仿宋" w:hAnsi="仿宋" w:eastAsia="仿宋"/>
          <w:b/>
          <w:sz w:val="24"/>
        </w:rPr>
        <w:t>乙酸</w:t>
      </w:r>
      <w:r>
        <w:rPr>
          <w:rFonts w:ascii="仿宋" w:hAnsi="仿宋" w:eastAsia="仿宋"/>
          <w:b/>
          <w:sz w:val="24"/>
        </w:rPr>
        <w:t>)</w:t>
      </w:r>
      <w:r>
        <w:rPr>
          <w:rFonts w:hint="eastAsia" w:ascii="仿宋" w:hAnsi="仿宋" w:eastAsia="仿宋"/>
          <w:b/>
          <w:sz w:val="24"/>
        </w:rPr>
        <w:t>新工艺</w:t>
      </w:r>
    </w:p>
    <w:p>
      <w:pPr>
        <w:spacing w:line="360" w:lineRule="auto"/>
        <w:ind w:firstLine="480" w:firstLineChars="200"/>
        <w:jc w:val="center"/>
        <w:rPr>
          <w:rFonts w:ascii="仿宋" w:hAnsi="仿宋" w:eastAsia="仿宋"/>
          <w:sz w:val="24"/>
        </w:rPr>
      </w:pPr>
      <w:r>
        <w:rPr>
          <w:rFonts w:ascii="仿宋" w:hAnsi="仿宋" w:eastAsia="仿宋"/>
          <w:sz w:val="24"/>
        </w:rPr>
        <w:t>——</w:t>
      </w:r>
      <w:r>
        <w:rPr>
          <w:rFonts w:hint="eastAsia" w:ascii="仿宋" w:hAnsi="仿宋" w:eastAsia="仿宋"/>
          <w:sz w:val="24"/>
        </w:rPr>
        <w:t>祁峰教授</w:t>
      </w:r>
    </w:p>
    <w:p>
      <w:pPr>
        <w:pStyle w:val="14"/>
        <w:spacing w:line="360" w:lineRule="auto"/>
        <w:ind w:firstLine="480"/>
        <w:rPr>
          <w:rFonts w:ascii="仿宋" w:hAnsi="仿宋" w:eastAsia="仿宋"/>
          <w:sz w:val="24"/>
        </w:rPr>
      </w:pPr>
      <w:r>
        <w:rPr>
          <w:rFonts w:ascii="仿宋" w:hAnsi="仿宋" w:eastAsia="仿宋"/>
          <w:sz w:val="24"/>
        </w:rPr>
        <w:t>TAM</w:t>
      </w:r>
      <w:r>
        <w:rPr>
          <w:rFonts w:hint="eastAsia" w:ascii="仿宋" w:hAnsi="仿宋" w:eastAsia="仿宋"/>
          <w:sz w:val="24"/>
        </w:rPr>
        <w:t>途径通过三步反应生成</w:t>
      </w:r>
      <w:r>
        <w:rPr>
          <w:rFonts w:ascii="仿宋" w:hAnsi="仿宋" w:eastAsia="仿宋"/>
          <w:sz w:val="24"/>
        </w:rPr>
        <w:t>IAA</w:t>
      </w:r>
      <w:r>
        <w:rPr>
          <w:rFonts w:hint="eastAsia" w:ascii="仿宋" w:hAnsi="仿宋" w:eastAsia="仿宋"/>
          <w:sz w:val="24"/>
        </w:rPr>
        <w:t>，</w:t>
      </w:r>
      <w:r>
        <w:rPr>
          <w:rFonts w:ascii="仿宋" w:hAnsi="仿宋" w:eastAsia="仿宋"/>
          <w:sz w:val="24"/>
        </w:rPr>
        <w:t>L-</w:t>
      </w:r>
      <w:r>
        <w:rPr>
          <w:rFonts w:hint="eastAsia" w:ascii="仿宋" w:hAnsi="仿宋" w:eastAsia="仿宋"/>
          <w:sz w:val="24"/>
        </w:rPr>
        <w:t>色氨酸先被左旋色氨酸脱羧酶</w:t>
      </w:r>
      <w:r>
        <w:rPr>
          <w:rFonts w:ascii="仿宋" w:hAnsi="仿宋" w:eastAsia="仿宋"/>
          <w:sz w:val="24"/>
        </w:rPr>
        <w:t>(TDC)</w:t>
      </w:r>
      <w:r>
        <w:rPr>
          <w:rFonts w:hint="eastAsia" w:ascii="仿宋" w:hAnsi="仿宋" w:eastAsia="仿宋"/>
          <w:sz w:val="24"/>
        </w:rPr>
        <w:t>脱羧生成</w:t>
      </w:r>
      <w:r>
        <w:rPr>
          <w:rFonts w:ascii="仿宋" w:hAnsi="仿宋" w:eastAsia="仿宋"/>
          <w:sz w:val="24"/>
        </w:rPr>
        <w:t>TAM</w:t>
      </w:r>
      <w:r>
        <w:rPr>
          <w:rFonts w:hint="eastAsia" w:ascii="仿宋" w:hAnsi="仿宋" w:eastAsia="仿宋"/>
          <w:sz w:val="24"/>
        </w:rPr>
        <w:t>，随后被二胺氧化酶</w:t>
      </w:r>
      <w:r>
        <w:rPr>
          <w:rFonts w:ascii="仿宋" w:hAnsi="仿宋" w:eastAsia="仿宋"/>
          <w:sz w:val="24"/>
        </w:rPr>
        <w:t>(AOC1)</w:t>
      </w:r>
      <w:r>
        <w:rPr>
          <w:rFonts w:hint="eastAsia" w:ascii="仿宋" w:hAnsi="仿宋" w:eastAsia="仿宋"/>
          <w:sz w:val="24"/>
        </w:rPr>
        <w:t>氧化生成吲哚</w:t>
      </w:r>
      <w:r>
        <w:rPr>
          <w:rFonts w:ascii="仿宋" w:hAnsi="仿宋" w:eastAsia="仿宋"/>
          <w:sz w:val="24"/>
        </w:rPr>
        <w:t>-3-</w:t>
      </w:r>
      <w:r>
        <w:rPr>
          <w:rFonts w:hint="eastAsia" w:ascii="仿宋" w:hAnsi="仿宋" w:eastAsia="仿宋"/>
          <w:sz w:val="24"/>
        </w:rPr>
        <w:t>乙醛，最后在吲哚</w:t>
      </w:r>
      <w:r>
        <w:rPr>
          <w:rFonts w:ascii="仿宋" w:hAnsi="仿宋" w:eastAsia="仿宋"/>
          <w:sz w:val="24"/>
        </w:rPr>
        <w:t>-3-</w:t>
      </w:r>
      <w:r>
        <w:rPr>
          <w:rFonts w:hint="eastAsia" w:ascii="仿宋" w:hAnsi="仿宋" w:eastAsia="仿宋"/>
          <w:sz w:val="24"/>
        </w:rPr>
        <w:t>乙醛脱氢酶</w:t>
      </w:r>
      <w:r>
        <w:rPr>
          <w:rFonts w:ascii="仿宋" w:hAnsi="仿宋" w:eastAsia="仿宋"/>
          <w:sz w:val="24"/>
        </w:rPr>
        <w:t>(IAD1)</w:t>
      </w:r>
      <w:r>
        <w:rPr>
          <w:rFonts w:hint="eastAsia" w:ascii="仿宋" w:hAnsi="仿宋" w:eastAsia="仿宋"/>
          <w:sz w:val="24"/>
        </w:rPr>
        <w:t>的作用下生成</w:t>
      </w:r>
      <w:r>
        <w:rPr>
          <w:rFonts w:ascii="仿宋" w:hAnsi="仿宋" w:eastAsia="仿宋"/>
          <w:sz w:val="24"/>
        </w:rPr>
        <w:t>IAA</w:t>
      </w:r>
      <w:r>
        <w:rPr>
          <w:rFonts w:hint="eastAsia" w:ascii="仿宋" w:hAnsi="仿宋" w:eastAsia="仿宋"/>
          <w:sz w:val="24"/>
        </w:rPr>
        <w:t>。本项目将三个酶的基因</w:t>
      </w:r>
      <w:r>
        <w:rPr>
          <w:rFonts w:ascii="仿宋" w:hAnsi="仿宋" w:eastAsia="仿宋"/>
          <w:sz w:val="24"/>
        </w:rPr>
        <w:t>tdc</w:t>
      </w:r>
      <w:r>
        <w:rPr>
          <w:rFonts w:hint="eastAsia" w:ascii="仿宋" w:hAnsi="仿宋" w:eastAsia="仿宋"/>
          <w:sz w:val="24"/>
        </w:rPr>
        <w:t>，</w:t>
      </w:r>
      <w:r>
        <w:rPr>
          <w:rFonts w:ascii="仿宋" w:hAnsi="仿宋" w:eastAsia="仿宋"/>
          <w:sz w:val="24"/>
        </w:rPr>
        <w:t>aoc1</w:t>
      </w:r>
      <w:r>
        <w:rPr>
          <w:rFonts w:hint="eastAsia" w:ascii="仿宋" w:hAnsi="仿宋" w:eastAsia="仿宋"/>
          <w:sz w:val="24"/>
        </w:rPr>
        <w:t>和</w:t>
      </w:r>
      <w:r>
        <w:rPr>
          <w:rFonts w:ascii="仿宋" w:hAnsi="仿宋" w:eastAsia="仿宋"/>
          <w:sz w:val="24"/>
        </w:rPr>
        <w:t>iad1</w:t>
      </w:r>
      <w:r>
        <w:rPr>
          <w:rFonts w:hint="eastAsia" w:ascii="仿宋" w:hAnsi="仿宋" w:eastAsia="仿宋"/>
          <w:sz w:val="24"/>
        </w:rPr>
        <w:t>插入表达载体</w:t>
      </w:r>
      <w:r>
        <w:rPr>
          <w:rFonts w:ascii="仿宋" w:hAnsi="仿宋" w:eastAsia="仿宋"/>
          <w:sz w:val="24"/>
        </w:rPr>
        <w:t>pTrc99a</w:t>
      </w:r>
      <w:r>
        <w:rPr>
          <w:rFonts w:hint="eastAsia" w:ascii="仿宋" w:hAnsi="仿宋" w:eastAsia="仿宋"/>
          <w:sz w:val="24"/>
        </w:rPr>
        <w:t>中，通过</w:t>
      </w:r>
      <w:r>
        <w:rPr>
          <w:rFonts w:ascii="仿宋" w:hAnsi="仿宋" w:eastAsia="仿宋"/>
          <w:sz w:val="24"/>
        </w:rPr>
        <w:t>tac</w:t>
      </w:r>
      <w:r>
        <w:rPr>
          <w:rFonts w:hint="eastAsia" w:ascii="仿宋" w:hAnsi="仿宋" w:eastAsia="仿宋"/>
          <w:sz w:val="24"/>
        </w:rPr>
        <w:t>启动子增强</w:t>
      </w:r>
      <w:r>
        <w:rPr>
          <w:rFonts w:ascii="仿宋" w:hAnsi="仿宋" w:eastAsia="仿宋"/>
          <w:sz w:val="24"/>
        </w:rPr>
        <w:t>aoc1</w:t>
      </w:r>
      <w:r>
        <w:rPr>
          <w:rFonts w:hint="eastAsia" w:ascii="仿宋" w:hAnsi="仿宋" w:eastAsia="仿宋"/>
          <w:sz w:val="24"/>
        </w:rPr>
        <w:t>和</w:t>
      </w:r>
      <w:r>
        <w:rPr>
          <w:rFonts w:ascii="仿宋" w:hAnsi="仿宋" w:eastAsia="仿宋"/>
          <w:sz w:val="24"/>
        </w:rPr>
        <w:t>iad1</w:t>
      </w:r>
      <w:r>
        <w:rPr>
          <w:rFonts w:hint="eastAsia" w:ascii="仿宋" w:hAnsi="仿宋" w:eastAsia="仿宋"/>
          <w:sz w:val="24"/>
        </w:rPr>
        <w:t>基因的表达，优化培养条件，敲除</w:t>
      </w:r>
      <w:r>
        <w:rPr>
          <w:rFonts w:ascii="仿宋" w:hAnsi="仿宋" w:eastAsia="仿宋"/>
          <w:sz w:val="24"/>
        </w:rPr>
        <w:t>tnaA</w:t>
      </w:r>
      <w:r>
        <w:rPr>
          <w:rFonts w:hint="eastAsia" w:ascii="仿宋" w:hAnsi="仿宋" w:eastAsia="仿宋"/>
          <w:sz w:val="24"/>
        </w:rPr>
        <w:t>基因等步骤，最终在重组大肠杆菌</w:t>
      </w:r>
      <w:r>
        <w:rPr>
          <w:rFonts w:ascii="仿宋" w:hAnsi="仿宋" w:eastAsia="仿宋"/>
          <w:sz w:val="24"/>
        </w:rPr>
        <w:t>TPTA-3</w:t>
      </w:r>
      <w:r>
        <w:rPr>
          <w:rFonts w:hint="eastAsia" w:ascii="仿宋" w:hAnsi="仿宋" w:eastAsia="仿宋"/>
          <w:sz w:val="24"/>
        </w:rPr>
        <w:t>中实现了</w:t>
      </w:r>
      <w:r>
        <w:rPr>
          <w:rFonts w:ascii="仿宋" w:hAnsi="仿宋" w:eastAsia="仿宋"/>
          <w:sz w:val="24"/>
        </w:rPr>
        <w:t>IAA</w:t>
      </w:r>
      <w:r>
        <w:rPr>
          <w:rFonts w:hint="eastAsia" w:ascii="仿宋" w:hAnsi="仿宋" w:eastAsia="仿宋"/>
          <w:sz w:val="24"/>
        </w:rPr>
        <w:t>的合成，产量为</w:t>
      </w:r>
      <w:r>
        <w:rPr>
          <w:rFonts w:ascii="仿宋" w:hAnsi="仿宋" w:eastAsia="仿宋"/>
          <w:sz w:val="24"/>
        </w:rPr>
        <w:t>21mg/L</w:t>
      </w:r>
      <w:r>
        <w:rPr>
          <w:rFonts w:hint="eastAsia" w:ascii="仿宋" w:hAnsi="仿宋" w:eastAsia="仿宋"/>
          <w:sz w:val="24"/>
        </w:rPr>
        <w:t>。</w:t>
      </w:r>
    </w:p>
    <w:p>
      <w:pPr>
        <w:pStyle w:val="14"/>
        <w:spacing w:line="360" w:lineRule="auto"/>
        <w:ind w:firstLine="600" w:firstLineChars="250"/>
        <w:rPr>
          <w:rFonts w:ascii="仿宋" w:hAnsi="仿宋" w:eastAsia="仿宋"/>
          <w:sz w:val="24"/>
        </w:rPr>
      </w:pPr>
      <w:r>
        <w:rPr>
          <w:rFonts w:ascii="仿宋" w:hAnsi="仿宋" w:eastAsia="仿宋"/>
          <w:sz w:val="24"/>
        </w:rPr>
        <w:t>IAM</w:t>
      </w:r>
      <w:r>
        <w:rPr>
          <w:rFonts w:hint="eastAsia" w:ascii="仿宋" w:hAnsi="仿宋" w:eastAsia="仿宋"/>
          <w:sz w:val="24"/>
        </w:rPr>
        <w:t>途径通过两步反应生成</w:t>
      </w:r>
      <w:r>
        <w:rPr>
          <w:rFonts w:ascii="仿宋" w:hAnsi="仿宋" w:eastAsia="仿宋"/>
          <w:sz w:val="24"/>
        </w:rPr>
        <w:t>IAA</w:t>
      </w:r>
      <w:r>
        <w:rPr>
          <w:rFonts w:hint="eastAsia" w:ascii="仿宋" w:hAnsi="仿宋" w:eastAsia="仿宋"/>
          <w:sz w:val="24"/>
        </w:rPr>
        <w:t>，</w:t>
      </w:r>
      <w:r>
        <w:rPr>
          <w:rFonts w:ascii="仿宋" w:hAnsi="仿宋" w:eastAsia="仿宋"/>
          <w:sz w:val="24"/>
        </w:rPr>
        <w:t>L-</w:t>
      </w:r>
      <w:r>
        <w:rPr>
          <w:rFonts w:hint="eastAsia" w:ascii="仿宋" w:hAnsi="仿宋" w:eastAsia="仿宋"/>
          <w:sz w:val="24"/>
        </w:rPr>
        <w:t>色氨酸先在色氨酸</w:t>
      </w:r>
      <w:r>
        <w:rPr>
          <w:rFonts w:ascii="仿宋" w:hAnsi="仿宋" w:eastAsia="仿宋"/>
          <w:sz w:val="24"/>
        </w:rPr>
        <w:t>-2-</w:t>
      </w:r>
      <w:r>
        <w:rPr>
          <w:rFonts w:hint="eastAsia" w:ascii="仿宋" w:hAnsi="仿宋" w:eastAsia="仿宋"/>
          <w:sz w:val="24"/>
        </w:rPr>
        <w:t>单加氧酶</w:t>
      </w:r>
      <w:r>
        <w:rPr>
          <w:rFonts w:ascii="仿宋" w:hAnsi="仿宋" w:eastAsia="仿宋"/>
          <w:sz w:val="24"/>
        </w:rPr>
        <w:t>(IAAM)</w:t>
      </w:r>
      <w:r>
        <w:rPr>
          <w:rFonts w:hint="eastAsia" w:ascii="仿宋" w:hAnsi="仿宋" w:eastAsia="仿宋"/>
          <w:sz w:val="24"/>
        </w:rPr>
        <w:t>的催化下生成</w:t>
      </w:r>
      <w:r>
        <w:rPr>
          <w:rFonts w:ascii="仿宋" w:hAnsi="仿宋" w:eastAsia="仿宋"/>
          <w:sz w:val="24"/>
        </w:rPr>
        <w:t>IAM</w:t>
      </w:r>
      <w:r>
        <w:rPr>
          <w:rFonts w:hint="eastAsia" w:ascii="仿宋" w:hAnsi="仿宋" w:eastAsia="仿宋"/>
          <w:sz w:val="24"/>
        </w:rPr>
        <w:t>，然后在酰胺酶</w:t>
      </w:r>
      <w:r>
        <w:rPr>
          <w:rFonts w:ascii="仿宋" w:hAnsi="仿宋" w:eastAsia="仿宋"/>
          <w:sz w:val="24"/>
        </w:rPr>
        <w:t>(AMI1)</w:t>
      </w:r>
      <w:r>
        <w:rPr>
          <w:rFonts w:hint="eastAsia" w:ascii="仿宋" w:hAnsi="仿宋" w:eastAsia="仿宋"/>
          <w:sz w:val="24"/>
        </w:rPr>
        <w:t>的作用下生成</w:t>
      </w:r>
      <w:r>
        <w:rPr>
          <w:rFonts w:ascii="仿宋" w:hAnsi="仿宋" w:eastAsia="仿宋"/>
          <w:sz w:val="24"/>
        </w:rPr>
        <w:t>IAA</w:t>
      </w:r>
      <w:r>
        <w:rPr>
          <w:rFonts w:hint="eastAsia" w:ascii="仿宋" w:hAnsi="仿宋" w:eastAsia="仿宋"/>
          <w:sz w:val="24"/>
        </w:rPr>
        <w:t>。本论文将色氨酸</w:t>
      </w:r>
      <w:r>
        <w:rPr>
          <w:rFonts w:ascii="仿宋" w:hAnsi="仿宋" w:eastAsia="仿宋"/>
          <w:sz w:val="24"/>
        </w:rPr>
        <w:t>-2-</w:t>
      </w:r>
      <w:r>
        <w:rPr>
          <w:rFonts w:hint="eastAsia" w:ascii="仿宋" w:hAnsi="仿宋" w:eastAsia="仿宋"/>
          <w:sz w:val="24"/>
        </w:rPr>
        <w:t>单加氧酶基因</w:t>
      </w:r>
      <w:r>
        <w:rPr>
          <w:rFonts w:ascii="仿宋" w:hAnsi="仿宋" w:eastAsia="仿宋"/>
          <w:sz w:val="24"/>
        </w:rPr>
        <w:t>iaaM</w:t>
      </w:r>
      <w:r>
        <w:rPr>
          <w:rFonts w:hint="eastAsia" w:ascii="仿宋" w:hAnsi="仿宋" w:eastAsia="仿宋"/>
          <w:sz w:val="24"/>
        </w:rPr>
        <w:t>和酰胺酶基因</w:t>
      </w:r>
      <w:r>
        <w:rPr>
          <w:rFonts w:ascii="仿宋" w:hAnsi="仿宋" w:eastAsia="仿宋"/>
          <w:sz w:val="24"/>
        </w:rPr>
        <w:t>ami1</w:t>
      </w:r>
      <w:r>
        <w:rPr>
          <w:rFonts w:hint="eastAsia" w:ascii="仿宋" w:hAnsi="仿宋" w:eastAsia="仿宋"/>
          <w:sz w:val="24"/>
        </w:rPr>
        <w:t>插入至表达载体</w:t>
      </w:r>
      <w:r>
        <w:rPr>
          <w:rFonts w:ascii="仿宋" w:hAnsi="仿宋" w:eastAsia="仿宋"/>
          <w:sz w:val="24"/>
        </w:rPr>
        <w:t>pTrc99a</w:t>
      </w:r>
      <w:r>
        <w:rPr>
          <w:rFonts w:hint="eastAsia" w:ascii="仿宋" w:hAnsi="仿宋" w:eastAsia="仿宋"/>
          <w:sz w:val="24"/>
        </w:rPr>
        <w:t>中，并通过</w:t>
      </w:r>
      <w:r>
        <w:rPr>
          <w:rFonts w:ascii="仿宋" w:hAnsi="仿宋" w:eastAsia="仿宋"/>
          <w:sz w:val="24"/>
        </w:rPr>
        <w:t>tac</w:t>
      </w:r>
      <w:r>
        <w:rPr>
          <w:rFonts w:hint="eastAsia" w:ascii="仿宋" w:hAnsi="仿宋" w:eastAsia="仿宋"/>
          <w:sz w:val="24"/>
        </w:rPr>
        <w:t>启动子增强酰胺酶的表达，使大肠杆菌</w:t>
      </w:r>
      <w:r>
        <w:rPr>
          <w:rFonts w:ascii="仿宋" w:hAnsi="仿宋" w:eastAsia="仿宋"/>
          <w:sz w:val="24"/>
        </w:rPr>
        <w:t>TPA-4</w:t>
      </w:r>
      <w:r>
        <w:rPr>
          <w:rFonts w:hint="eastAsia" w:ascii="仿宋" w:hAnsi="仿宋" w:eastAsia="仿宋"/>
          <w:sz w:val="24"/>
        </w:rPr>
        <w:t>能够以</w:t>
      </w:r>
      <w:r>
        <w:rPr>
          <w:rFonts w:ascii="仿宋" w:hAnsi="仿宋" w:eastAsia="仿宋"/>
          <w:sz w:val="24"/>
        </w:rPr>
        <w:t>2g/L</w:t>
      </w:r>
      <w:r>
        <w:rPr>
          <w:rFonts w:hint="eastAsia" w:ascii="仿宋" w:hAnsi="仿宋" w:eastAsia="仿宋"/>
          <w:sz w:val="24"/>
        </w:rPr>
        <w:t>的色氨酸为底物，生成</w:t>
      </w:r>
      <w:r>
        <w:rPr>
          <w:rFonts w:ascii="仿宋" w:hAnsi="仿宋" w:eastAsia="仿宋"/>
          <w:sz w:val="24"/>
        </w:rPr>
        <w:t>0.803g/L</w:t>
      </w:r>
      <w:r>
        <w:rPr>
          <w:rFonts w:hint="eastAsia" w:ascii="仿宋" w:hAnsi="仿宋" w:eastAsia="仿宋"/>
          <w:sz w:val="24"/>
        </w:rPr>
        <w:t>的</w:t>
      </w:r>
      <w:r>
        <w:rPr>
          <w:rFonts w:ascii="仿宋" w:hAnsi="仿宋" w:eastAsia="仿宋"/>
          <w:sz w:val="24"/>
        </w:rPr>
        <w:t>IAA</w:t>
      </w:r>
      <w:r>
        <w:rPr>
          <w:rFonts w:hint="eastAsia" w:ascii="仿宋" w:hAnsi="仿宋" w:eastAsia="仿宋"/>
          <w:sz w:val="24"/>
        </w:rPr>
        <w:t>。接着，通过</w:t>
      </w:r>
      <w:r>
        <w:rPr>
          <w:rFonts w:ascii="仿宋" w:hAnsi="仿宋" w:eastAsia="仿宋"/>
          <w:sz w:val="24"/>
        </w:rPr>
        <w:t>ami1</w:t>
      </w:r>
      <w:r>
        <w:rPr>
          <w:rFonts w:hint="eastAsia" w:ascii="仿宋" w:hAnsi="仿宋" w:eastAsia="仿宋"/>
          <w:sz w:val="24"/>
        </w:rPr>
        <w:t>基因的过表达，</w:t>
      </w:r>
      <w:r>
        <w:rPr>
          <w:rFonts w:ascii="仿宋" w:hAnsi="仿宋" w:eastAsia="仿宋"/>
          <w:sz w:val="24"/>
        </w:rPr>
        <w:t>tnaA</w:t>
      </w:r>
      <w:r>
        <w:rPr>
          <w:rFonts w:hint="eastAsia" w:ascii="仿宋" w:hAnsi="仿宋" w:eastAsia="仿宋"/>
          <w:sz w:val="24"/>
        </w:rPr>
        <w:t>基因敲除，以及优化培养条件后，大肠杆菌合成的</w:t>
      </w:r>
      <w:r>
        <w:rPr>
          <w:rFonts w:ascii="仿宋" w:hAnsi="仿宋" w:eastAsia="仿宋"/>
          <w:sz w:val="24"/>
        </w:rPr>
        <w:t>IAA</w:t>
      </w:r>
      <w:r>
        <w:rPr>
          <w:rFonts w:hint="eastAsia" w:ascii="仿宋" w:hAnsi="仿宋" w:eastAsia="仿宋"/>
          <w:sz w:val="24"/>
        </w:rPr>
        <w:t>产量进一步提高，达到了</w:t>
      </w:r>
      <w:r>
        <w:rPr>
          <w:rFonts w:ascii="仿宋" w:hAnsi="仿宋" w:eastAsia="仿宋"/>
          <w:sz w:val="24"/>
        </w:rPr>
        <w:t>1.585 g/L</w:t>
      </w:r>
      <w:r>
        <w:rPr>
          <w:rFonts w:hint="eastAsia" w:ascii="仿宋" w:hAnsi="仿宋" w:eastAsia="仿宋"/>
          <w:sz w:val="24"/>
        </w:rPr>
        <w:t>，摩尔转化率为</w:t>
      </w:r>
      <w:r>
        <w:rPr>
          <w:rFonts w:ascii="仿宋" w:hAnsi="仿宋" w:eastAsia="仿宋"/>
          <w:sz w:val="24"/>
        </w:rPr>
        <w:t>92.3 %</w:t>
      </w:r>
      <w:r>
        <w:rPr>
          <w:rFonts w:hint="eastAsia" w:ascii="仿宋" w:hAnsi="仿宋" w:eastAsia="仿宋"/>
          <w:sz w:val="24"/>
        </w:rPr>
        <w:t>，该菌株</w:t>
      </w:r>
      <w:r>
        <w:rPr>
          <w:rFonts w:ascii="仿宋" w:hAnsi="仿宋" w:eastAsia="仿宋"/>
          <w:sz w:val="24"/>
        </w:rPr>
        <w:t>IAA</w:t>
      </w:r>
      <w:r>
        <w:rPr>
          <w:rFonts w:hint="eastAsia" w:ascii="仿宋" w:hAnsi="仿宋" w:eastAsia="仿宋"/>
          <w:sz w:val="24"/>
        </w:rPr>
        <w:t>产量比</w:t>
      </w:r>
      <w:r>
        <w:rPr>
          <w:rFonts w:ascii="仿宋" w:hAnsi="仿宋" w:eastAsia="仿宋"/>
          <w:sz w:val="24"/>
        </w:rPr>
        <w:t>MPA-2</w:t>
      </w:r>
      <w:r>
        <w:rPr>
          <w:rFonts w:hint="eastAsia" w:ascii="仿宋" w:hAnsi="仿宋" w:eastAsia="仿宋"/>
          <w:sz w:val="24"/>
        </w:rPr>
        <w:t>提高了</w:t>
      </w:r>
      <w:r>
        <w:rPr>
          <w:rFonts w:ascii="仿宋" w:hAnsi="仿宋" w:eastAsia="仿宋"/>
          <w:sz w:val="24"/>
        </w:rPr>
        <w:t>68.8 %</w:t>
      </w:r>
      <w:r>
        <w:rPr>
          <w:rFonts w:hint="eastAsia" w:ascii="仿宋" w:hAnsi="仿宋" w:eastAsia="仿宋"/>
          <w:sz w:val="24"/>
        </w:rPr>
        <w:t>，是目前已报道利用微生物合成</w:t>
      </w:r>
      <w:r>
        <w:rPr>
          <w:rFonts w:ascii="仿宋" w:hAnsi="仿宋" w:eastAsia="仿宋"/>
          <w:sz w:val="24"/>
        </w:rPr>
        <w:t>IAA</w:t>
      </w:r>
      <w:r>
        <w:rPr>
          <w:rFonts w:hint="eastAsia" w:ascii="仿宋" w:hAnsi="仿宋" w:eastAsia="仿宋"/>
          <w:sz w:val="24"/>
        </w:rPr>
        <w:t>的最高产量。当底物色氨酸的浓度增加至</w:t>
      </w:r>
      <w:r>
        <w:rPr>
          <w:rFonts w:ascii="仿宋" w:hAnsi="仿宋" w:eastAsia="仿宋"/>
          <w:sz w:val="24"/>
        </w:rPr>
        <w:t>10g/L</w:t>
      </w:r>
      <w:r>
        <w:rPr>
          <w:rFonts w:hint="eastAsia" w:ascii="仿宋" w:hAnsi="仿宋" w:eastAsia="仿宋"/>
          <w:sz w:val="24"/>
        </w:rPr>
        <w:t>时，菌株</w:t>
      </w:r>
      <w:r>
        <w:rPr>
          <w:rFonts w:ascii="仿宋" w:hAnsi="仿宋" w:eastAsia="仿宋"/>
          <w:sz w:val="24"/>
        </w:rPr>
        <w:t>MPA-5</w:t>
      </w:r>
      <w:r>
        <w:rPr>
          <w:rFonts w:hint="eastAsia" w:ascii="仿宋" w:hAnsi="仿宋" w:eastAsia="仿宋"/>
          <w:sz w:val="24"/>
        </w:rPr>
        <w:t>能够合成</w:t>
      </w:r>
      <w:r>
        <w:rPr>
          <w:rFonts w:ascii="仿宋" w:hAnsi="仿宋" w:eastAsia="仿宋"/>
          <w:sz w:val="24"/>
        </w:rPr>
        <w:t>7.1 g/L</w:t>
      </w:r>
      <w:r>
        <w:rPr>
          <w:rFonts w:hint="eastAsia" w:ascii="仿宋" w:hAnsi="仿宋" w:eastAsia="仿宋"/>
          <w:sz w:val="24"/>
        </w:rPr>
        <w:t>的</w:t>
      </w:r>
      <w:r>
        <w:rPr>
          <w:rFonts w:ascii="仿宋" w:hAnsi="仿宋" w:eastAsia="仿宋"/>
          <w:sz w:val="24"/>
        </w:rPr>
        <w:t>IAA</w:t>
      </w:r>
      <w:r>
        <w:rPr>
          <w:rFonts w:hint="eastAsia" w:ascii="仿宋" w:hAnsi="仿宋" w:eastAsia="仿宋"/>
          <w:sz w:val="24"/>
        </w:rPr>
        <w:t>。</w:t>
      </w:r>
    </w:p>
    <w:p>
      <w:pPr>
        <w:pStyle w:val="14"/>
        <w:spacing w:line="360" w:lineRule="auto"/>
        <w:ind w:firstLine="480"/>
        <w:rPr>
          <w:rFonts w:ascii="仿宋" w:hAnsi="仿宋" w:eastAsia="仿宋"/>
          <w:sz w:val="24"/>
        </w:rPr>
      </w:pPr>
      <w:r>
        <w:rPr>
          <w:rFonts w:hint="eastAsia" w:ascii="仿宋" w:hAnsi="仿宋" w:eastAsia="仿宋"/>
          <w:sz w:val="24"/>
        </w:rPr>
        <w:t>为了降低</w:t>
      </w:r>
      <w:r>
        <w:rPr>
          <w:rFonts w:ascii="仿宋" w:hAnsi="仿宋" w:eastAsia="仿宋"/>
          <w:sz w:val="24"/>
        </w:rPr>
        <w:t>IAA</w:t>
      </w:r>
      <w:r>
        <w:rPr>
          <w:rFonts w:hint="eastAsia" w:ascii="仿宋" w:hAnsi="仿宋" w:eastAsia="仿宋"/>
          <w:sz w:val="24"/>
        </w:rPr>
        <w:t>的生产成本，本项目对从葡萄糖合成</w:t>
      </w:r>
      <w:r>
        <w:rPr>
          <w:rFonts w:ascii="仿宋" w:hAnsi="仿宋" w:eastAsia="仿宋"/>
          <w:sz w:val="24"/>
        </w:rPr>
        <w:t>IAA</w:t>
      </w:r>
      <w:r>
        <w:rPr>
          <w:rFonts w:hint="eastAsia" w:ascii="仿宋" w:hAnsi="仿宋" w:eastAsia="仿宋"/>
          <w:sz w:val="24"/>
        </w:rPr>
        <w:t>的从头合成（</w:t>
      </w:r>
      <w:r>
        <w:rPr>
          <w:rFonts w:ascii="仿宋" w:hAnsi="仿宋" w:eastAsia="仿宋"/>
          <w:sz w:val="24"/>
        </w:rPr>
        <w:t>De novo</w:t>
      </w:r>
      <w:r>
        <w:rPr>
          <w:rFonts w:hint="eastAsia" w:ascii="仿宋" w:hAnsi="仿宋" w:eastAsia="仿宋"/>
          <w:sz w:val="24"/>
        </w:rPr>
        <w:t>）途径也进行了研究。葡萄糖经过莽草酸途径生成分支酸，再通过多步反应生成色氨酸。以</w:t>
      </w:r>
      <w:r>
        <w:rPr>
          <w:rFonts w:ascii="仿宋" w:hAnsi="仿宋" w:eastAsia="仿宋"/>
          <w:sz w:val="24"/>
        </w:rPr>
        <w:t>IAM</w:t>
      </w:r>
      <w:r>
        <w:rPr>
          <w:rFonts w:hint="eastAsia" w:ascii="仿宋" w:hAnsi="仿宋" w:eastAsia="仿宋"/>
          <w:sz w:val="24"/>
        </w:rPr>
        <w:t>途径中高产</w:t>
      </w:r>
      <w:r>
        <w:rPr>
          <w:rFonts w:ascii="仿宋" w:hAnsi="仿宋" w:eastAsia="仿宋"/>
          <w:sz w:val="24"/>
        </w:rPr>
        <w:t>IAA</w:t>
      </w:r>
      <w:r>
        <w:rPr>
          <w:rFonts w:hint="eastAsia" w:ascii="仿宋" w:hAnsi="仿宋" w:eastAsia="仿宋"/>
          <w:sz w:val="24"/>
        </w:rPr>
        <w:t>的菌株</w:t>
      </w:r>
      <w:r>
        <w:rPr>
          <w:rFonts w:ascii="仿宋" w:hAnsi="仿宋" w:eastAsia="仿宋"/>
          <w:sz w:val="24"/>
        </w:rPr>
        <w:t>MPA-5</w:t>
      </w:r>
      <w:r>
        <w:rPr>
          <w:rFonts w:hint="eastAsia" w:ascii="仿宋" w:hAnsi="仿宋" w:eastAsia="仿宋"/>
          <w:sz w:val="24"/>
        </w:rPr>
        <w:t>为初始菌株，引入可以转化葡萄糖的高产色氨酸质粒</w:t>
      </w:r>
      <w:r>
        <w:rPr>
          <w:rFonts w:ascii="仿宋" w:hAnsi="仿宋" w:eastAsia="仿宋"/>
          <w:sz w:val="24"/>
        </w:rPr>
        <w:t>p6LRPW326</w:t>
      </w:r>
      <w:r>
        <w:rPr>
          <w:rFonts w:hint="eastAsia" w:ascii="仿宋" w:hAnsi="仿宋" w:eastAsia="仿宋"/>
          <w:sz w:val="24"/>
        </w:rPr>
        <w:t>，获得大肠杆菌重组菌株</w:t>
      </w:r>
      <w:r>
        <w:rPr>
          <w:rFonts w:ascii="仿宋" w:hAnsi="仿宋" w:eastAsia="仿宋"/>
          <w:sz w:val="24"/>
        </w:rPr>
        <w:t>MPA-5-M</w:t>
      </w:r>
      <w:r>
        <w:rPr>
          <w:rFonts w:hint="eastAsia" w:ascii="仿宋" w:hAnsi="仿宋" w:eastAsia="仿宋"/>
          <w:sz w:val="24"/>
        </w:rPr>
        <w:t>，使大肠杆菌利用双质粒系统合成</w:t>
      </w:r>
      <w:r>
        <w:rPr>
          <w:rFonts w:ascii="仿宋" w:hAnsi="仿宋" w:eastAsia="仿宋"/>
          <w:sz w:val="24"/>
        </w:rPr>
        <w:t>IAA</w:t>
      </w:r>
      <w:r>
        <w:rPr>
          <w:rFonts w:hint="eastAsia" w:ascii="仿宋" w:hAnsi="仿宋" w:eastAsia="仿宋"/>
          <w:sz w:val="24"/>
        </w:rPr>
        <w:t>。在优化培养基</w:t>
      </w:r>
      <w:r>
        <w:rPr>
          <w:rFonts w:ascii="仿宋" w:hAnsi="仿宋" w:eastAsia="仿宋"/>
          <w:sz w:val="24"/>
        </w:rPr>
        <w:t>pH</w:t>
      </w:r>
      <w:r>
        <w:rPr>
          <w:rFonts w:hint="eastAsia" w:ascii="仿宋" w:hAnsi="仿宋" w:eastAsia="仿宋"/>
          <w:sz w:val="24"/>
        </w:rPr>
        <w:t>、培养温度后，以</w:t>
      </w:r>
      <w:r>
        <w:rPr>
          <w:rFonts w:ascii="仿宋" w:hAnsi="仿宋" w:eastAsia="仿宋"/>
          <w:sz w:val="24"/>
        </w:rPr>
        <w:t>20g/L</w:t>
      </w:r>
      <w:r>
        <w:rPr>
          <w:rFonts w:hint="eastAsia" w:ascii="仿宋" w:hAnsi="仿宋" w:eastAsia="仿宋"/>
          <w:sz w:val="24"/>
        </w:rPr>
        <w:t>的葡萄糖为底物，最终产生了</w:t>
      </w:r>
      <w:r>
        <w:rPr>
          <w:rFonts w:ascii="仿宋" w:hAnsi="仿宋" w:eastAsia="仿宋"/>
          <w:sz w:val="24"/>
        </w:rPr>
        <w:t>222 mg/L</w:t>
      </w:r>
      <w:r>
        <w:rPr>
          <w:rFonts w:hint="eastAsia" w:ascii="仿宋" w:hAnsi="仿宋" w:eastAsia="仿宋"/>
          <w:sz w:val="24"/>
        </w:rPr>
        <w:t>的</w:t>
      </w:r>
      <w:r>
        <w:rPr>
          <w:rFonts w:ascii="仿宋" w:hAnsi="仿宋" w:eastAsia="仿宋"/>
          <w:sz w:val="24"/>
        </w:rPr>
        <w:t>IAA</w:t>
      </w:r>
      <w:r>
        <w:rPr>
          <w:rFonts w:hint="eastAsia" w:ascii="仿宋" w:hAnsi="仿宋" w:eastAsia="仿宋"/>
          <w:sz w:val="24"/>
        </w:rPr>
        <w:t>。我们研究并开发的这项技术通过合成生物学技术和代谢工程手段利用重组大肠杆菌表达外源</w:t>
      </w:r>
      <w:r>
        <w:rPr>
          <w:rFonts w:ascii="仿宋" w:hAnsi="仿宋" w:eastAsia="仿宋"/>
          <w:sz w:val="24"/>
        </w:rPr>
        <w:t>IAM</w:t>
      </w:r>
      <w:r>
        <w:rPr>
          <w:rFonts w:hint="eastAsia" w:ascii="仿宋" w:hAnsi="仿宋" w:eastAsia="仿宋"/>
          <w:sz w:val="24"/>
        </w:rPr>
        <w:t>途径和色胺途径生产</w:t>
      </w:r>
      <w:r>
        <w:rPr>
          <w:rFonts w:ascii="仿宋" w:hAnsi="仿宋" w:eastAsia="仿宋"/>
          <w:sz w:val="24"/>
        </w:rPr>
        <w:t>IAA</w:t>
      </w:r>
      <w:r>
        <w:rPr>
          <w:rFonts w:hint="eastAsia" w:ascii="仿宋" w:hAnsi="仿宋" w:eastAsia="仿宋"/>
          <w:sz w:val="24"/>
        </w:rPr>
        <w:t>，为高效利用微生物细胞工厂生产氨基酸衍生物的研究提供了新思路。</w:t>
      </w:r>
    </w:p>
    <w:p>
      <w:pPr>
        <w:spacing w:line="360" w:lineRule="auto"/>
        <w:rPr>
          <w:rFonts w:ascii="仿宋" w:hAnsi="仿宋" w:eastAsia="仿宋"/>
          <w:b/>
          <w:sz w:val="24"/>
        </w:rPr>
      </w:pPr>
      <w:r>
        <w:rPr>
          <w:rFonts w:hint="eastAsia" w:ascii="仿宋" w:hAnsi="仿宋" w:eastAsia="仿宋"/>
          <w:b/>
          <w:sz w:val="24"/>
        </w:rPr>
        <w:t>（四）处理厨余等有机垃圾的新型微生物菌剂及配套设备开发</w:t>
      </w:r>
    </w:p>
    <w:p>
      <w:pPr>
        <w:spacing w:line="360" w:lineRule="auto"/>
        <w:jc w:val="center"/>
        <w:rPr>
          <w:rFonts w:ascii="仿宋" w:hAnsi="仿宋" w:eastAsia="仿宋"/>
          <w:sz w:val="24"/>
        </w:rPr>
      </w:pPr>
      <w:r>
        <w:rPr>
          <w:rFonts w:ascii="仿宋" w:hAnsi="仿宋" w:eastAsia="仿宋"/>
          <w:sz w:val="24"/>
        </w:rPr>
        <w:t>——</w:t>
      </w:r>
      <w:r>
        <w:rPr>
          <w:rFonts w:hint="eastAsia" w:ascii="仿宋" w:hAnsi="仿宋" w:eastAsia="仿宋"/>
          <w:sz w:val="24"/>
        </w:rPr>
        <w:t>王明兹教授</w:t>
      </w:r>
    </w:p>
    <w:p>
      <w:pPr>
        <w:ind w:firstLine="600" w:firstLineChars="250"/>
        <w:rPr>
          <w:rFonts w:ascii="仿宋" w:hAnsi="仿宋" w:eastAsia="仿宋"/>
          <w:bCs/>
          <w:iCs/>
          <w:sz w:val="24"/>
        </w:rPr>
      </w:pPr>
      <w:r>
        <w:rPr>
          <w:rFonts w:hint="eastAsia" w:ascii="仿宋" w:hAnsi="仿宋" w:eastAsia="仿宋"/>
          <w:bCs/>
          <w:iCs/>
          <w:sz w:val="24"/>
        </w:rPr>
        <w:t>随着城市居民生活水平的提高和互联网的快速发展，餐饮外卖行业应运而生，与此同时，也产生了大量厨余垃圾和生活垃圾。长期以来，我国厨余等有机垃圾一直与生活垃圾混合丢弃堆放，导致前端城市垃圾分类工作没有得到很好的落实。由于垃圾处理方法较为单一且新的处理技术的应用能力不足，具有较大改良空间。整体上我国对餐厨等有机垃圾资源化处理技术的研究和应用开发还处于初级阶段。大多数餐厨垃圾仍旧与生活垃圾混合堆放，采用传统的焚烧和填埋方法处理，为了达到餐厨垃圾减量化、资源化、无害化的目标，开发有机垃圾资源化利用工艺势在必行、前景广阔。要开发建立一个经济、简便、有效稳定的有机垃圾生物资源化处理工艺必须同时满足以下两个条件，才有行业推广应用价值。第一、要筛选能够耐受餐厨等有机垃圾高含水量、高油高盐条件且能够快速生长繁殖、高效生物转化的微生物菌株，这样才能减少或避免压榨干燥等预处理垃圾所需的高成本，又能减少产生渗滤液污染环境和相应处理费用。第二、所筛选的高性能菌株能够耐受温度范围广，灵活适应不同季节变换的发酵温度，避免菌种受温度抑制生长导致活性功能下降。</w:t>
      </w:r>
    </w:p>
    <w:p>
      <w:pPr>
        <w:numPr>
          <w:ilvl w:val="0"/>
          <w:numId w:val="1"/>
        </w:numPr>
        <w:tabs>
          <w:tab w:val="clear" w:pos="312"/>
        </w:tabs>
        <w:rPr>
          <w:rFonts w:ascii="仿宋" w:hAnsi="仿宋" w:eastAsia="仿宋"/>
          <w:b/>
          <w:iCs/>
          <w:sz w:val="24"/>
        </w:rPr>
      </w:pPr>
      <w:r>
        <w:rPr>
          <w:rFonts w:hint="eastAsia" w:ascii="仿宋" w:hAnsi="仿宋" w:eastAsia="仿宋"/>
          <w:b/>
          <w:iCs/>
          <w:sz w:val="24"/>
        </w:rPr>
        <w:t>研究内容</w:t>
      </w:r>
      <w:r>
        <w:rPr>
          <w:rFonts w:ascii="仿宋" w:hAnsi="仿宋" w:eastAsia="仿宋"/>
          <w:b/>
          <w:iCs/>
          <w:sz w:val="24"/>
        </w:rPr>
        <w:t>:</w:t>
      </w:r>
    </w:p>
    <w:p>
      <w:pPr>
        <w:ind w:firstLine="120" w:firstLineChars="50"/>
        <w:rPr>
          <w:rFonts w:ascii="仿宋" w:hAnsi="仿宋" w:eastAsia="仿宋"/>
          <w:bCs/>
          <w:iCs/>
          <w:sz w:val="24"/>
        </w:rPr>
      </w:pPr>
      <w:r>
        <w:rPr>
          <w:rFonts w:hint="eastAsia" w:ascii="仿宋" w:hAnsi="仿宋" w:eastAsia="仿宋"/>
          <w:bCs/>
          <w:iCs/>
          <w:sz w:val="24"/>
        </w:rPr>
        <w:t>研究内容之一：针对不同的用户，开发不同类型的有机垃圾处理产品（菌剂）</w:t>
      </w:r>
    </w:p>
    <w:p>
      <w:pPr>
        <w:numPr>
          <w:ilvl w:val="0"/>
          <w:numId w:val="2"/>
        </w:numPr>
        <w:rPr>
          <w:rFonts w:ascii="仿宋" w:hAnsi="仿宋" w:eastAsia="仿宋"/>
          <w:bCs/>
          <w:iCs/>
          <w:sz w:val="24"/>
        </w:rPr>
      </w:pPr>
      <w:r>
        <w:rPr>
          <w:rFonts w:hint="eastAsia" w:ascii="仿宋" w:hAnsi="仿宋" w:eastAsia="仿宋"/>
          <w:bCs/>
          <w:iCs/>
          <w:sz w:val="24"/>
        </w:rPr>
        <w:t>针对普通家庭用户、餐饮门店、学校餐厅、小型垃圾转运站：开发便携的喷撒类菌剂，该产品具备无毒无害，且能消除餐厨垃圾久置产生的臭味的功能。</w:t>
      </w:r>
    </w:p>
    <w:p>
      <w:pPr>
        <w:numPr>
          <w:ilvl w:val="0"/>
          <w:numId w:val="2"/>
        </w:numPr>
        <w:rPr>
          <w:rFonts w:ascii="仿宋" w:hAnsi="仿宋" w:eastAsia="仿宋"/>
          <w:bCs/>
          <w:iCs/>
          <w:sz w:val="24"/>
        </w:rPr>
      </w:pPr>
      <w:r>
        <w:rPr>
          <w:rFonts w:hint="eastAsia" w:ascii="仿宋" w:hAnsi="仿宋" w:eastAsia="仿宋"/>
          <w:bCs/>
          <w:iCs/>
          <w:sz w:val="24"/>
        </w:rPr>
        <w:t>针对大型垃圾中转站、垃圾处理厂：开发能实现餐厨垃圾资源化的菌株及配套的处理设备。该产品能高效处理餐厨垃圾，且设备占地面积小，操作简单，便于移动。</w:t>
      </w:r>
    </w:p>
    <w:p>
      <w:pPr>
        <w:rPr>
          <w:rFonts w:ascii="仿宋" w:hAnsi="仿宋" w:eastAsia="仿宋"/>
          <w:bCs/>
          <w:iCs/>
          <w:sz w:val="24"/>
        </w:rPr>
      </w:pPr>
      <w:r>
        <w:rPr>
          <w:rFonts w:hint="eastAsia" w:ascii="仿宋" w:hAnsi="仿宋" w:eastAsia="仿宋"/>
          <w:bCs/>
          <w:iCs/>
          <w:sz w:val="24"/>
        </w:rPr>
        <w:t>研究内容之二：针对不同行业需求，开发不同性能的目标菌株和相应设备</w:t>
      </w:r>
    </w:p>
    <w:p>
      <w:pPr>
        <w:rPr>
          <w:rFonts w:ascii="仿宋" w:hAnsi="仿宋" w:eastAsia="仿宋"/>
          <w:bCs/>
          <w:iCs/>
          <w:sz w:val="24"/>
        </w:rPr>
      </w:pPr>
      <w:r>
        <w:rPr>
          <w:rFonts w:hint="eastAsia" w:ascii="仿宋" w:hAnsi="仿宋" w:eastAsia="仿宋"/>
          <w:bCs/>
          <w:iCs/>
          <w:sz w:val="24"/>
        </w:rPr>
        <w:t>本项目组已经开发了三种不同类型的微生物菌剂，分别针对三种不同类型的有机垃圾：</w:t>
      </w:r>
    </w:p>
    <w:p>
      <w:pPr>
        <w:numPr>
          <w:ilvl w:val="0"/>
          <w:numId w:val="3"/>
        </w:numPr>
        <w:ind w:firstLine="480" w:firstLineChars="200"/>
        <w:rPr>
          <w:rFonts w:ascii="仿宋" w:hAnsi="仿宋" w:eastAsia="仿宋"/>
          <w:bCs/>
          <w:iCs/>
          <w:sz w:val="24"/>
        </w:rPr>
      </w:pPr>
      <w:r>
        <w:rPr>
          <w:rFonts w:hint="eastAsia" w:ascii="仿宋" w:hAnsi="仿宋" w:eastAsia="仿宋"/>
          <w:bCs/>
          <w:iCs/>
          <w:sz w:val="24"/>
        </w:rPr>
        <w:t>针对以蔬菜、水果残渣等为主的有机垃圾，开发了一种素食性微生物菌剂，能将该类餐厨垃圾发酵转化成为饲料产品用于畜禽水产养殖。适用于食品、饮料、农作物秸秆和水果加工等行业。</w:t>
      </w:r>
    </w:p>
    <w:p>
      <w:pPr>
        <w:numPr>
          <w:ilvl w:val="0"/>
          <w:numId w:val="3"/>
        </w:numPr>
        <w:ind w:firstLine="480" w:firstLineChars="200"/>
        <w:rPr>
          <w:rFonts w:ascii="仿宋" w:hAnsi="仿宋" w:eastAsia="仿宋"/>
          <w:bCs/>
          <w:iCs/>
          <w:sz w:val="24"/>
        </w:rPr>
      </w:pPr>
      <w:r>
        <w:rPr>
          <w:rFonts w:hint="eastAsia" w:ascii="仿宋" w:hAnsi="仿宋" w:eastAsia="仿宋"/>
          <w:bCs/>
          <w:iCs/>
          <w:sz w:val="24"/>
        </w:rPr>
        <w:t>针对以肉渣、油脂等荤类食物残渣为主的垃圾，开发了一种以肉食性微生物菌剂，可将该类垃圾发酵成为高品质有机氮肥。</w:t>
      </w:r>
    </w:p>
    <w:p>
      <w:pPr>
        <w:numPr>
          <w:ilvl w:val="0"/>
          <w:numId w:val="3"/>
        </w:numPr>
        <w:ind w:firstLine="480" w:firstLineChars="200"/>
        <w:rPr>
          <w:rFonts w:ascii="仿宋" w:hAnsi="仿宋" w:eastAsia="仿宋"/>
          <w:bCs/>
          <w:iCs/>
          <w:sz w:val="24"/>
        </w:rPr>
      </w:pPr>
      <w:r>
        <w:rPr>
          <w:rFonts w:hint="eastAsia" w:ascii="仿宋" w:hAnsi="仿宋" w:eastAsia="仿宋"/>
          <w:bCs/>
          <w:iCs/>
          <w:sz w:val="24"/>
        </w:rPr>
        <w:t>针对混合型有机垃圾，开发了一种混合型微生物菌剂，可综合有效利用垃圾中营养物生长，转化垃圾为有机肥。</w:t>
      </w:r>
    </w:p>
    <w:p>
      <w:pPr>
        <w:rPr>
          <w:rFonts w:ascii="仿宋" w:hAnsi="仿宋" w:eastAsia="仿宋"/>
          <w:bCs/>
          <w:iCs/>
          <w:sz w:val="24"/>
        </w:rPr>
      </w:pPr>
      <w:r>
        <w:rPr>
          <w:rFonts w:hint="eastAsia" w:ascii="仿宋" w:hAnsi="仿宋" w:eastAsia="仿宋"/>
          <w:bCs/>
          <w:iCs/>
          <w:sz w:val="24"/>
        </w:rPr>
        <w:t>研究内容之三：后期需要开发各种类型的配套的处理设备，分别适应于不同的发酵需求。</w:t>
      </w:r>
    </w:p>
    <w:p>
      <w:pPr>
        <w:numPr>
          <w:ilvl w:val="0"/>
          <w:numId w:val="4"/>
        </w:numPr>
        <w:rPr>
          <w:rFonts w:ascii="仿宋" w:hAnsi="仿宋" w:eastAsia="仿宋"/>
          <w:bCs/>
          <w:iCs/>
          <w:sz w:val="24"/>
        </w:rPr>
      </w:pPr>
      <w:r>
        <w:rPr>
          <w:rFonts w:hint="eastAsia" w:ascii="仿宋" w:hAnsi="仿宋" w:eastAsia="仿宋"/>
          <w:bCs/>
          <w:iCs/>
          <w:sz w:val="24"/>
        </w:rPr>
        <w:t>小型家用式厨余垃圾放置及处理装置，适用于家庭，安全、高效、无臭味处理日常厨余垃圾。</w:t>
      </w:r>
    </w:p>
    <w:p>
      <w:pPr>
        <w:numPr>
          <w:ilvl w:val="0"/>
          <w:numId w:val="4"/>
        </w:numPr>
        <w:rPr>
          <w:rFonts w:ascii="仿宋" w:hAnsi="仿宋" w:eastAsia="仿宋"/>
          <w:bCs/>
          <w:iCs/>
          <w:sz w:val="24"/>
        </w:rPr>
      </w:pPr>
      <w:r>
        <w:rPr>
          <w:rFonts w:hint="eastAsia" w:ascii="仿宋" w:hAnsi="仿宋" w:eastAsia="仿宋"/>
          <w:bCs/>
          <w:iCs/>
          <w:sz w:val="24"/>
        </w:rPr>
        <w:t>中型有机垃圾处理装置，适用于垃圾中转站、小规模企业安全、高效、无臭味处理有机垃圾。</w:t>
      </w:r>
    </w:p>
    <w:p>
      <w:pPr>
        <w:numPr>
          <w:ilvl w:val="0"/>
          <w:numId w:val="4"/>
        </w:numPr>
        <w:rPr>
          <w:rFonts w:ascii="仿宋" w:hAnsi="仿宋" w:eastAsia="仿宋"/>
          <w:bCs/>
          <w:iCs/>
          <w:sz w:val="24"/>
        </w:rPr>
      </w:pPr>
      <w:r>
        <w:rPr>
          <w:rFonts w:hint="eastAsia" w:ascii="仿宋" w:hAnsi="仿宋" w:eastAsia="仿宋"/>
          <w:bCs/>
          <w:iCs/>
          <w:sz w:val="24"/>
        </w:rPr>
        <w:t>大型有机垃圾处理装置，适用于垃圾处理站、有机肥生产企业安全、高效、无臭味处理有机垃圾，生产有机肥。</w:t>
      </w:r>
    </w:p>
    <w:p>
      <w:pPr>
        <w:numPr>
          <w:ilvl w:val="0"/>
          <w:numId w:val="1"/>
        </w:numPr>
        <w:tabs>
          <w:tab w:val="clear" w:pos="312"/>
        </w:tabs>
        <w:rPr>
          <w:rFonts w:ascii="仿宋" w:hAnsi="仿宋" w:eastAsia="仿宋"/>
          <w:b/>
          <w:iCs/>
          <w:sz w:val="24"/>
        </w:rPr>
      </w:pPr>
      <w:r>
        <w:rPr>
          <w:rFonts w:hint="eastAsia" w:ascii="仿宋" w:hAnsi="仿宋" w:eastAsia="仿宋"/>
          <w:b/>
          <w:iCs/>
          <w:sz w:val="24"/>
        </w:rPr>
        <w:t>成果目标：</w:t>
      </w:r>
    </w:p>
    <w:p>
      <w:pPr>
        <w:numPr>
          <w:ilvl w:val="0"/>
          <w:numId w:val="5"/>
        </w:numPr>
        <w:ind w:firstLine="480" w:firstLineChars="200"/>
        <w:rPr>
          <w:rFonts w:ascii="仿宋" w:hAnsi="仿宋" w:eastAsia="仿宋"/>
          <w:bCs/>
          <w:iCs/>
          <w:sz w:val="24"/>
        </w:rPr>
      </w:pPr>
      <w:r>
        <w:rPr>
          <w:rFonts w:hint="eastAsia" w:ascii="仿宋" w:hAnsi="仿宋" w:eastAsia="仿宋"/>
          <w:bCs/>
          <w:iCs/>
          <w:sz w:val="24"/>
        </w:rPr>
        <w:t>筛选获得目标微生物菌株，任务已完成。</w:t>
      </w:r>
    </w:p>
    <w:p>
      <w:pPr>
        <w:numPr>
          <w:ilvl w:val="0"/>
          <w:numId w:val="5"/>
        </w:numPr>
        <w:ind w:firstLine="480" w:firstLineChars="200"/>
        <w:rPr>
          <w:rFonts w:ascii="仿宋" w:hAnsi="仿宋" w:eastAsia="仿宋"/>
          <w:bCs/>
          <w:iCs/>
          <w:sz w:val="24"/>
        </w:rPr>
      </w:pPr>
      <w:r>
        <w:rPr>
          <w:rFonts w:hint="eastAsia" w:ascii="仿宋" w:hAnsi="仿宋" w:eastAsia="仿宋"/>
          <w:bCs/>
          <w:iCs/>
          <w:sz w:val="24"/>
        </w:rPr>
        <w:t>通过育种学手段提升目标菌株的耐受性能和对餐厨垃圾有机物转化的性能，任务已完成。</w:t>
      </w:r>
    </w:p>
    <w:p>
      <w:pPr>
        <w:numPr>
          <w:ilvl w:val="0"/>
          <w:numId w:val="5"/>
        </w:numPr>
        <w:ind w:firstLine="480" w:firstLineChars="200"/>
        <w:rPr>
          <w:rFonts w:ascii="仿宋" w:hAnsi="仿宋" w:eastAsia="仿宋"/>
          <w:bCs/>
          <w:iCs/>
          <w:sz w:val="24"/>
        </w:rPr>
      </w:pPr>
      <w:r>
        <w:rPr>
          <w:rFonts w:hint="eastAsia" w:ascii="仿宋" w:hAnsi="仿宋" w:eastAsia="仿宋"/>
          <w:bCs/>
          <w:iCs/>
          <w:sz w:val="24"/>
        </w:rPr>
        <w:t>建立并优化具有经济、高效、稳定的餐厨等有机垃圾处理菌剂制备及应用工艺，任务已完成。</w:t>
      </w:r>
    </w:p>
    <w:p>
      <w:pPr>
        <w:rPr>
          <w:rFonts w:ascii="仿宋" w:hAnsi="仿宋" w:eastAsia="仿宋"/>
          <w:b/>
          <w:sz w:val="24"/>
        </w:rPr>
      </w:pPr>
      <w:r>
        <w:rPr>
          <w:rFonts w:hint="eastAsia" w:ascii="仿宋" w:hAnsi="仿宋" w:eastAsia="仿宋"/>
          <w:bCs/>
          <w:iCs/>
          <w:sz w:val="24"/>
        </w:rPr>
        <w:t>开发适合不同用户的有机垃圾高效微生物菌剂处理配套设备，申请专利</w:t>
      </w:r>
      <w:r>
        <w:rPr>
          <w:rFonts w:ascii="仿宋" w:hAnsi="仿宋" w:eastAsia="仿宋"/>
          <w:bCs/>
          <w:iCs/>
          <w:sz w:val="24"/>
        </w:rPr>
        <w:t>5</w:t>
      </w:r>
      <w:r>
        <w:rPr>
          <w:rFonts w:hint="eastAsia" w:ascii="仿宋" w:hAnsi="仿宋" w:eastAsia="仿宋"/>
          <w:bCs/>
          <w:iCs/>
          <w:sz w:val="24"/>
        </w:rPr>
        <w:t>件以上。（进行中）</w:t>
      </w:r>
    </w:p>
    <w:p>
      <w:pPr>
        <w:rPr>
          <w:rFonts w:ascii="仿宋" w:hAnsi="仿宋" w:eastAsia="仿宋"/>
          <w:b/>
          <w:sz w:val="24"/>
        </w:rPr>
      </w:pPr>
    </w:p>
    <w:p>
      <w:pPr>
        <w:rPr>
          <w:rFonts w:ascii="仿宋" w:hAnsi="仿宋" w:eastAsia="仿宋"/>
          <w:b/>
          <w:sz w:val="24"/>
        </w:rPr>
      </w:pPr>
      <w:r>
        <w:rPr>
          <w:rFonts w:hint="eastAsia" w:ascii="仿宋" w:hAnsi="仿宋" w:eastAsia="仿宋"/>
          <w:b/>
          <w:sz w:val="24"/>
        </w:rPr>
        <w:t>（五）靶向肿瘤特异性和组织</w:t>
      </w:r>
      <w:r>
        <w:rPr>
          <w:rFonts w:ascii="仿宋" w:hAnsi="仿宋" w:eastAsia="仿宋"/>
          <w:b/>
          <w:sz w:val="24"/>
        </w:rPr>
        <w:t>/</w:t>
      </w:r>
      <w:r>
        <w:rPr>
          <w:rFonts w:hint="eastAsia" w:ascii="仿宋" w:hAnsi="仿宋" w:eastAsia="仿宋"/>
          <w:b/>
          <w:sz w:val="24"/>
        </w:rPr>
        <w:t>器官特异性的递送系统技术之适配体的开发</w:t>
      </w:r>
    </w:p>
    <w:p>
      <w:pPr>
        <w:jc w:val="center"/>
        <w:rPr>
          <w:rFonts w:ascii="仿宋" w:hAnsi="仿宋" w:eastAsia="仿宋"/>
          <w:sz w:val="24"/>
        </w:rPr>
      </w:pPr>
      <w:r>
        <w:rPr>
          <w:rFonts w:ascii="仿宋" w:hAnsi="仿宋" w:eastAsia="仿宋"/>
          <w:sz w:val="24"/>
        </w:rPr>
        <w:t>——</w:t>
      </w:r>
      <w:r>
        <w:rPr>
          <w:rFonts w:hint="eastAsia" w:ascii="仿宋" w:hAnsi="仿宋" w:eastAsia="仿宋"/>
          <w:sz w:val="24"/>
        </w:rPr>
        <w:t>蒋祖搴博士后</w:t>
      </w:r>
    </w:p>
    <w:p>
      <w:pPr>
        <w:ind w:firstLine="480" w:firstLineChars="200"/>
        <w:rPr>
          <w:rFonts w:ascii="仿宋" w:hAnsi="仿宋" w:eastAsia="仿宋"/>
          <w:sz w:val="24"/>
        </w:rPr>
      </w:pPr>
      <w:r>
        <w:rPr>
          <w:rFonts w:hint="eastAsia" w:ascii="仿宋" w:hAnsi="仿宋" w:eastAsia="仿宋"/>
          <w:sz w:val="24"/>
        </w:rPr>
        <w:t>适配体</w:t>
      </w:r>
      <w:r>
        <w:rPr>
          <w:rFonts w:ascii="仿宋" w:hAnsi="仿宋" w:eastAsia="仿宋"/>
          <w:sz w:val="24"/>
        </w:rPr>
        <w:t xml:space="preserve"> (Aptamer) </w:t>
      </w:r>
      <w:r>
        <w:rPr>
          <w:rFonts w:hint="eastAsia" w:ascii="仿宋" w:hAnsi="仿宋" w:eastAsia="仿宋"/>
          <w:sz w:val="24"/>
        </w:rPr>
        <w:t>是一种短的单链</w:t>
      </w:r>
      <w:r>
        <w:rPr>
          <w:rFonts w:ascii="仿宋" w:hAnsi="仿宋" w:eastAsia="仿宋"/>
          <w:sz w:val="24"/>
        </w:rPr>
        <w:t xml:space="preserve"> DNA </w:t>
      </w:r>
      <w:r>
        <w:rPr>
          <w:rFonts w:hint="eastAsia" w:ascii="仿宋" w:hAnsi="仿宋" w:eastAsia="仿宋"/>
          <w:sz w:val="24"/>
        </w:rPr>
        <w:t>或</w:t>
      </w:r>
      <w:r>
        <w:rPr>
          <w:rFonts w:ascii="仿宋" w:hAnsi="仿宋" w:eastAsia="仿宋"/>
          <w:sz w:val="24"/>
        </w:rPr>
        <w:t xml:space="preserve"> RNA</w:t>
      </w:r>
      <w:r>
        <w:rPr>
          <w:rFonts w:hint="eastAsia" w:ascii="仿宋" w:hAnsi="仿宋" w:eastAsia="仿宋"/>
          <w:sz w:val="24"/>
        </w:rPr>
        <w:t>，经过筛选后可与目标物产生特定的相互作用。</w:t>
      </w:r>
      <w:r>
        <w:rPr>
          <w:rFonts w:ascii="仿宋" w:hAnsi="仿宋" w:eastAsia="仿宋"/>
          <w:sz w:val="24"/>
        </w:rPr>
        <w:t xml:space="preserve">Ellington </w:t>
      </w:r>
      <w:r>
        <w:rPr>
          <w:rFonts w:hint="eastAsia" w:ascii="仿宋" w:hAnsi="仿宋" w:eastAsia="仿宋"/>
          <w:sz w:val="24"/>
        </w:rPr>
        <w:t>和</w:t>
      </w:r>
      <w:r>
        <w:rPr>
          <w:rFonts w:ascii="仿宋" w:hAnsi="仿宋" w:eastAsia="仿宋"/>
          <w:sz w:val="24"/>
        </w:rPr>
        <w:t xml:space="preserve"> Tuerk </w:t>
      </w:r>
      <w:r>
        <w:rPr>
          <w:rFonts w:hint="eastAsia" w:ascii="仿宋" w:hAnsi="仿宋" w:eastAsia="仿宋"/>
          <w:sz w:val="24"/>
        </w:rPr>
        <w:t>等人在</w:t>
      </w:r>
      <w:r>
        <w:rPr>
          <w:rFonts w:ascii="仿宋" w:hAnsi="仿宋" w:eastAsia="仿宋"/>
          <w:sz w:val="24"/>
        </w:rPr>
        <w:t xml:space="preserve"> 1990</w:t>
      </w:r>
      <w:r>
        <w:rPr>
          <w:rFonts w:hint="eastAsia" w:ascii="仿宋" w:hAnsi="仿宋" w:eastAsia="仿宋"/>
          <w:sz w:val="24"/>
        </w:rPr>
        <w:t>年，从核苷酸随机序列区域库筛选出可与</w:t>
      </w:r>
      <w:r>
        <w:rPr>
          <w:rFonts w:ascii="仿宋" w:hAnsi="仿宋" w:eastAsia="仿宋"/>
          <w:sz w:val="24"/>
        </w:rPr>
        <w:t xml:space="preserve"> T4 DNA </w:t>
      </w:r>
      <w:r>
        <w:rPr>
          <w:rFonts w:hint="eastAsia" w:ascii="仿宋" w:hAnsi="仿宋" w:eastAsia="仿宋"/>
          <w:sz w:val="24"/>
        </w:rPr>
        <w:t>聚合酶结合并具有很高的亲和力及特异性的寡核苷酸，其证实了特定的寡核苷酸序列具有与目标物结合的能力。</w:t>
      </w:r>
    </w:p>
    <w:p>
      <w:pPr>
        <w:ind w:firstLine="600" w:firstLineChars="250"/>
        <w:rPr>
          <w:rFonts w:ascii="仿宋" w:hAnsi="仿宋" w:eastAsia="仿宋"/>
          <w:sz w:val="24"/>
        </w:rPr>
      </w:pPr>
      <w:r>
        <w:rPr>
          <w:rFonts w:hint="eastAsia" w:ascii="仿宋" w:hAnsi="仿宋" w:eastAsia="仿宋"/>
          <w:sz w:val="24"/>
        </w:rPr>
        <w:t>适配体已被应用于病原体识别、肿瘤识别、环境污染监测等领域，以及作为干细胞标记物；并被广泛应用在生物传感器中的开发。适配体被应用在治疗方面的研究，显示它们有能力与小分子和蛋白质配体竞争并抑制它们的功能，所以适配体被认为是有希望的治疗方法。此外寡核苷酸适配体还有激活标靶受体的功能或作为传递治疗药物的载体，作用于靶细胞或组织；例如作为一种抗病毒试剂。早前的研究显示合成</w:t>
      </w:r>
      <w:r>
        <w:rPr>
          <w:rFonts w:ascii="仿宋" w:hAnsi="仿宋" w:eastAsia="仿宋"/>
          <w:sz w:val="24"/>
        </w:rPr>
        <w:t xml:space="preserve"> gp120</w:t>
      </w:r>
      <w:r>
        <w:rPr>
          <w:rFonts w:hint="eastAsia" w:ascii="仿宋" w:hAnsi="仿宋" w:eastAsia="仿宋"/>
          <w:sz w:val="24"/>
        </w:rPr>
        <w:t>衍生物的</w:t>
      </w:r>
      <w:r>
        <w:rPr>
          <w:rFonts w:ascii="仿宋" w:hAnsi="仿宋" w:eastAsia="仿宋"/>
          <w:sz w:val="24"/>
        </w:rPr>
        <w:t xml:space="preserve"> RNA-</w:t>
      </w:r>
      <w:r>
        <w:rPr>
          <w:rFonts w:hint="eastAsia" w:ascii="仿宋" w:hAnsi="仿宋" w:eastAsia="仿宋"/>
          <w:sz w:val="24"/>
        </w:rPr>
        <w:t>适配体可以中和</w:t>
      </w:r>
      <w:r>
        <w:rPr>
          <w:rFonts w:ascii="仿宋" w:hAnsi="仿宋" w:eastAsia="仿宋"/>
          <w:sz w:val="24"/>
        </w:rPr>
        <w:t xml:space="preserve"> HIV-1</w:t>
      </w:r>
      <w:r>
        <w:rPr>
          <w:rFonts w:hint="eastAsia" w:ascii="仿宋" w:hAnsi="仿宋" w:eastAsia="仿宋"/>
          <w:sz w:val="24"/>
        </w:rPr>
        <w:t>。此外，针对</w:t>
      </w:r>
      <w:r>
        <w:rPr>
          <w:rFonts w:ascii="仿宋" w:hAnsi="仿宋" w:eastAsia="仿宋"/>
          <w:sz w:val="24"/>
        </w:rPr>
        <w:t xml:space="preserve"> RIG-I </w:t>
      </w:r>
      <w:r>
        <w:rPr>
          <w:rFonts w:hint="eastAsia" w:ascii="仿宋" w:hAnsi="仿宋" w:eastAsia="仿宋"/>
          <w:sz w:val="24"/>
        </w:rPr>
        <w:t>的</w:t>
      </w:r>
      <w:r>
        <w:rPr>
          <w:rFonts w:ascii="仿宋" w:hAnsi="仿宋" w:eastAsia="仿宋"/>
          <w:sz w:val="24"/>
        </w:rPr>
        <w:t xml:space="preserve"> RNA-</w:t>
      </w:r>
      <w:r>
        <w:rPr>
          <w:rFonts w:hint="eastAsia" w:ascii="仿宋" w:hAnsi="仿宋" w:eastAsia="仿宋"/>
          <w:sz w:val="24"/>
        </w:rPr>
        <w:t>适配体可以抑制新城鸡瘟病毒</w:t>
      </w:r>
      <w:r>
        <w:rPr>
          <w:rFonts w:ascii="仿宋" w:hAnsi="仿宋" w:eastAsia="仿宋"/>
          <w:sz w:val="24"/>
        </w:rPr>
        <w:t xml:space="preserve"> (NDV)</w:t>
      </w:r>
      <w:r>
        <w:rPr>
          <w:rFonts w:hint="eastAsia" w:ascii="仿宋" w:hAnsi="仿宋" w:eastAsia="仿宋"/>
          <w:sz w:val="24"/>
        </w:rPr>
        <w:t>，疱疹性口炎病毒</w:t>
      </w:r>
      <w:r>
        <w:rPr>
          <w:rFonts w:ascii="仿宋" w:hAnsi="仿宋" w:eastAsia="仿宋"/>
          <w:sz w:val="24"/>
        </w:rPr>
        <w:t xml:space="preserve"> (VSV) </w:t>
      </w:r>
      <w:r>
        <w:rPr>
          <w:rFonts w:hint="eastAsia" w:ascii="仿宋" w:hAnsi="仿宋" w:eastAsia="仿宋"/>
          <w:sz w:val="24"/>
        </w:rPr>
        <w:t>与流感病毒。</w:t>
      </w:r>
      <w:r>
        <w:rPr>
          <w:rFonts w:ascii="仿宋" w:hAnsi="仿宋" w:eastAsia="仿宋"/>
          <w:sz w:val="24"/>
        </w:rPr>
        <w:t>RNA-</w:t>
      </w:r>
      <w:r>
        <w:rPr>
          <w:rFonts w:hint="eastAsia" w:ascii="仿宋" w:hAnsi="仿宋" w:eastAsia="仿宋"/>
          <w:sz w:val="24"/>
        </w:rPr>
        <w:t>适配体能够有效的作用于</w:t>
      </w:r>
      <w:r>
        <w:rPr>
          <w:rFonts w:ascii="仿宋" w:hAnsi="仿宋" w:eastAsia="仿宋"/>
          <w:sz w:val="24"/>
        </w:rPr>
        <w:t xml:space="preserve">C </w:t>
      </w:r>
      <w:r>
        <w:rPr>
          <w:rFonts w:hint="eastAsia" w:ascii="仿宋" w:hAnsi="仿宋" w:eastAsia="仿宋"/>
          <w:sz w:val="24"/>
        </w:rPr>
        <w:t>型肝炎病毒</w:t>
      </w:r>
      <w:r>
        <w:rPr>
          <w:rFonts w:ascii="仿宋" w:hAnsi="仿宋" w:eastAsia="仿宋"/>
          <w:sz w:val="24"/>
        </w:rPr>
        <w:t xml:space="preserve"> NS3 </w:t>
      </w:r>
      <w:r>
        <w:rPr>
          <w:rFonts w:hint="eastAsia" w:ascii="仿宋" w:hAnsi="仿宋" w:eastAsia="仿宋"/>
          <w:sz w:val="24"/>
        </w:rPr>
        <w:t>的解旋酶结合域而抑制其蛋白酶和解旋酶的活性，进而抑制</w:t>
      </w:r>
      <w:r>
        <w:rPr>
          <w:rFonts w:ascii="仿宋" w:hAnsi="仿宋" w:eastAsia="仿宋"/>
          <w:sz w:val="24"/>
        </w:rPr>
        <w:t xml:space="preserve"> HCV </w:t>
      </w:r>
      <w:r>
        <w:rPr>
          <w:rFonts w:hint="eastAsia" w:ascii="仿宋" w:hAnsi="仿宋" w:eastAsia="仿宋"/>
          <w:sz w:val="24"/>
        </w:rPr>
        <w:t>的复制。其它正在开发或已在临床前阶段的抗癌适配体，包括针对以不同生长因子如</w:t>
      </w:r>
      <w:r>
        <w:rPr>
          <w:rFonts w:ascii="仿宋" w:hAnsi="仿宋" w:eastAsia="仿宋"/>
          <w:sz w:val="24"/>
        </w:rPr>
        <w:t>VEGF</w:t>
      </w:r>
      <w:r>
        <w:rPr>
          <w:rFonts w:hint="eastAsia" w:ascii="仿宋" w:hAnsi="仿宋" w:eastAsia="仿宋"/>
          <w:sz w:val="24"/>
        </w:rPr>
        <w:t>、</w:t>
      </w:r>
      <w:r>
        <w:rPr>
          <w:rFonts w:ascii="仿宋" w:hAnsi="仿宋" w:eastAsia="仿宋"/>
          <w:sz w:val="24"/>
        </w:rPr>
        <w:t>bFGF</w:t>
      </w:r>
      <w:r>
        <w:rPr>
          <w:rFonts w:hint="eastAsia" w:ascii="仿宋" w:hAnsi="仿宋" w:eastAsia="仿宋"/>
          <w:sz w:val="24"/>
        </w:rPr>
        <w:t>、</w:t>
      </w:r>
      <w:r>
        <w:rPr>
          <w:rFonts w:ascii="仿宋" w:hAnsi="仿宋" w:eastAsia="仿宋"/>
          <w:sz w:val="24"/>
        </w:rPr>
        <w:t>PDGF</w:t>
      </w:r>
      <w:r>
        <w:rPr>
          <w:rFonts w:hint="eastAsia" w:ascii="仿宋" w:hAnsi="仿宋" w:eastAsia="仿宋"/>
          <w:sz w:val="24"/>
        </w:rPr>
        <w:t>、</w:t>
      </w:r>
      <w:r>
        <w:rPr>
          <w:rFonts w:ascii="仿宋" w:hAnsi="仿宋" w:eastAsia="仿宋"/>
          <w:sz w:val="24"/>
        </w:rPr>
        <w:t xml:space="preserve">KGF </w:t>
      </w:r>
      <w:r>
        <w:rPr>
          <w:rFonts w:hint="eastAsia" w:ascii="仿宋" w:hAnsi="仿宋" w:eastAsia="仿宋"/>
          <w:sz w:val="24"/>
        </w:rPr>
        <w:t>为靶向的适配体，或可与趋化因子配基</w:t>
      </w:r>
      <w:r>
        <w:rPr>
          <w:rFonts w:ascii="仿宋" w:hAnsi="仿宋" w:eastAsia="仿宋"/>
          <w:sz w:val="24"/>
        </w:rPr>
        <w:t xml:space="preserve"> CXCL12 </w:t>
      </w:r>
      <w:r>
        <w:rPr>
          <w:rFonts w:hint="eastAsia" w:ascii="仿宋" w:hAnsi="仿宋" w:eastAsia="仿宋"/>
          <w:sz w:val="24"/>
        </w:rPr>
        <w:t>结合的</w:t>
      </w:r>
      <w:r>
        <w:rPr>
          <w:rFonts w:ascii="仿宋" w:hAnsi="仿宋" w:eastAsia="仿宋"/>
          <w:sz w:val="24"/>
        </w:rPr>
        <w:t xml:space="preserve"> NOX-A12 RNA-</w:t>
      </w:r>
      <w:r>
        <w:rPr>
          <w:rFonts w:hint="eastAsia" w:ascii="仿宋" w:hAnsi="仿宋" w:eastAsia="仿宋"/>
          <w:sz w:val="24"/>
        </w:rPr>
        <w:t>适配体；以波形蛋白为靶向的</w:t>
      </w:r>
      <w:r>
        <w:rPr>
          <w:rFonts w:ascii="仿宋" w:hAnsi="仿宋" w:eastAsia="仿宋"/>
          <w:sz w:val="24"/>
        </w:rPr>
        <w:t xml:space="preserve"> NAS-24 DNA-</w:t>
      </w:r>
      <w:r>
        <w:rPr>
          <w:rFonts w:hint="eastAsia" w:ascii="仿宋" w:hAnsi="仿宋" w:eastAsia="仿宋"/>
          <w:sz w:val="24"/>
        </w:rPr>
        <w:t>适配体，其可维持细胞形状、细胞质完整性和细胞骨架的稳定性。</w:t>
      </w:r>
    </w:p>
    <w:p>
      <w:pPr>
        <w:ind w:firstLine="480"/>
        <w:rPr>
          <w:rFonts w:ascii="仿宋" w:hAnsi="仿宋" w:eastAsia="仿宋"/>
          <w:sz w:val="24"/>
        </w:rPr>
      </w:pPr>
      <w:r>
        <w:rPr>
          <w:rFonts w:hint="eastAsia" w:ascii="仿宋" w:hAnsi="仿宋" w:eastAsia="仿宋"/>
          <w:sz w:val="24"/>
        </w:rPr>
        <w:t>然而临床有效的治疗性适配体之发展远落后于治疗性抗体，可能是由于效力不足、缺乏安全性分析数据、缺少药物化学支持以及</w:t>
      </w:r>
      <w:r>
        <w:rPr>
          <w:rFonts w:ascii="仿宋" w:hAnsi="仿宋" w:eastAsia="仿宋"/>
          <w:sz w:val="24"/>
        </w:rPr>
        <w:t xml:space="preserve"> SELEX </w:t>
      </w:r>
      <w:r>
        <w:rPr>
          <w:rFonts w:hint="eastAsia" w:ascii="仿宋" w:hAnsi="仿宋" w:eastAsia="仿宋"/>
          <w:sz w:val="24"/>
        </w:rPr>
        <w:t>技术在早期受到独家知识产权保护限制了初始分布等因素，造成它们的临床转化被推迟进，而使其迄今在商业上成功的产品十分缺乏。此外，以</w:t>
      </w:r>
      <w:r>
        <w:rPr>
          <w:rFonts w:ascii="仿宋" w:hAnsi="仿宋" w:eastAsia="仿宋"/>
          <w:sz w:val="24"/>
        </w:rPr>
        <w:t xml:space="preserve"> RNA </w:t>
      </w:r>
      <w:r>
        <w:rPr>
          <w:rFonts w:hint="eastAsia" w:ascii="仿宋" w:hAnsi="仿宋" w:eastAsia="仿宋"/>
          <w:sz w:val="24"/>
        </w:rPr>
        <w:t>为基础的疗法之设计和配方相关的挑战仍然存在。尽管有这些限制，治疗性适配体依然有其不可取代的优势；适配体作为一种未来成功的治疗手段，尚须克服这些挑战并充分利用适配体的独特属性。</w:t>
      </w:r>
    </w:p>
    <w:p>
      <w:pPr>
        <w:rPr>
          <w:rFonts w:ascii="仿宋" w:hAnsi="仿宋" w:eastAsia="仿宋"/>
          <w:sz w:val="24"/>
        </w:rPr>
      </w:pPr>
      <w:r>
        <w:rPr>
          <w:rFonts w:ascii="仿宋" w:hAnsi="仿宋" w:eastAsia="仿宋"/>
          <w:sz w:val="24"/>
        </w:rPr>
        <w:t>1</w:t>
      </w:r>
      <w:r>
        <w:rPr>
          <w:rFonts w:hint="eastAsia" w:ascii="仿宋" w:hAnsi="仿宋" w:eastAsia="仿宋"/>
          <w:sz w:val="24"/>
        </w:rPr>
        <w:t>、研究开发内容：</w:t>
      </w:r>
    </w:p>
    <w:p>
      <w:pPr>
        <w:ind w:firstLine="480"/>
        <w:rPr>
          <w:rFonts w:ascii="仿宋" w:hAnsi="仿宋" w:eastAsia="仿宋"/>
          <w:sz w:val="24"/>
        </w:rPr>
      </w:pPr>
      <w:r>
        <w:rPr>
          <w:rFonts w:hint="eastAsia" w:ascii="仿宋" w:hAnsi="仿宋" w:eastAsia="仿宋"/>
          <w:sz w:val="24"/>
        </w:rPr>
        <w:t>本合作项目需求方</w:t>
      </w:r>
      <w:r>
        <w:rPr>
          <w:rFonts w:ascii="仿宋" w:hAnsi="仿宋" w:eastAsia="仿宋"/>
          <w:sz w:val="24"/>
        </w:rPr>
        <w:t>(</w:t>
      </w:r>
      <w:r>
        <w:rPr>
          <w:rFonts w:hint="eastAsia" w:ascii="仿宋" w:hAnsi="仿宋" w:eastAsia="仿宋"/>
          <w:sz w:val="24"/>
        </w:rPr>
        <w:t>贵方</w:t>
      </w:r>
      <w:r>
        <w:rPr>
          <w:rFonts w:ascii="仿宋" w:hAnsi="仿宋" w:eastAsia="仿宋"/>
          <w:sz w:val="24"/>
        </w:rPr>
        <w:t>)</w:t>
      </w:r>
      <w:r>
        <w:rPr>
          <w:rFonts w:hint="eastAsia" w:ascii="仿宋" w:hAnsi="仿宋" w:eastAsia="仿宋"/>
          <w:sz w:val="24"/>
        </w:rPr>
        <w:t>期望能开发脑部肿瘤靶向性递送系统技术</w:t>
      </w:r>
      <w:r>
        <w:rPr>
          <w:rFonts w:ascii="仿宋" w:hAnsi="仿宋" w:eastAsia="仿宋"/>
          <w:sz w:val="24"/>
        </w:rPr>
        <w:t>1</w:t>
      </w:r>
      <w:r>
        <w:rPr>
          <w:rFonts w:hint="eastAsia" w:ascii="仿宋" w:hAnsi="仿宋" w:eastAsia="仿宋"/>
          <w:sz w:val="24"/>
        </w:rPr>
        <w:t>项或产品</w:t>
      </w:r>
      <w:r>
        <w:rPr>
          <w:rFonts w:ascii="仿宋" w:hAnsi="仿宋" w:eastAsia="仿宋"/>
          <w:sz w:val="24"/>
        </w:rPr>
        <w:t>1</w:t>
      </w:r>
      <w:r>
        <w:rPr>
          <w:rFonts w:hint="eastAsia" w:ascii="仿宋" w:hAnsi="仿宋" w:eastAsia="仿宋"/>
          <w:sz w:val="24"/>
        </w:rPr>
        <w:t>个，其他组织或器官肿瘤靶向性递送系统平台技术</w:t>
      </w:r>
      <w:r>
        <w:rPr>
          <w:rFonts w:ascii="仿宋" w:hAnsi="仿宋" w:eastAsia="仿宋"/>
          <w:sz w:val="24"/>
        </w:rPr>
        <w:t>1</w:t>
      </w:r>
      <w:r>
        <w:rPr>
          <w:rFonts w:hint="eastAsia" w:ascii="仿宋" w:hAnsi="仿宋" w:eastAsia="仿宋"/>
          <w:sz w:val="24"/>
        </w:rPr>
        <w:t>项或产品</w:t>
      </w:r>
      <w:r>
        <w:rPr>
          <w:rFonts w:ascii="仿宋" w:hAnsi="仿宋" w:eastAsia="仿宋"/>
          <w:sz w:val="24"/>
        </w:rPr>
        <w:t>1</w:t>
      </w:r>
      <w:r>
        <w:rPr>
          <w:rFonts w:hint="eastAsia" w:ascii="仿宋" w:hAnsi="仿宋" w:eastAsia="仿宋"/>
          <w:sz w:val="24"/>
        </w:rPr>
        <w:t>个；主要解决的技术壁垒是新型辅料及载药技术，特异性器官药物浓度分布超过其他器官和组织浓度一倍以上，肿瘤组织超过正常组织</w:t>
      </w:r>
      <w:r>
        <w:rPr>
          <w:rFonts w:ascii="仿宋" w:hAnsi="仿宋" w:eastAsia="仿宋"/>
          <w:sz w:val="24"/>
        </w:rPr>
        <w:t>1</w:t>
      </w:r>
      <w:r>
        <w:rPr>
          <w:rFonts w:hint="eastAsia" w:ascii="仿宋" w:hAnsi="仿宋" w:eastAsia="仿宋"/>
          <w:sz w:val="24"/>
        </w:rPr>
        <w:t>倍以上。</w:t>
      </w:r>
    </w:p>
    <w:p>
      <w:pPr>
        <w:rPr>
          <w:rFonts w:ascii="仿宋" w:hAnsi="仿宋" w:eastAsia="仿宋"/>
          <w:sz w:val="24"/>
        </w:rPr>
      </w:pPr>
      <w:r>
        <w:rPr>
          <w:rFonts w:ascii="仿宋" w:hAnsi="仿宋" w:eastAsia="仿宋"/>
          <w:sz w:val="24"/>
        </w:rPr>
        <w:t>2</w:t>
      </w:r>
      <w:r>
        <w:rPr>
          <w:rFonts w:hint="eastAsia" w:ascii="仿宋" w:hAnsi="仿宋" w:eastAsia="仿宋"/>
          <w:sz w:val="24"/>
        </w:rPr>
        <w:t>、成果目标：</w:t>
      </w:r>
    </w:p>
    <w:p>
      <w:pPr>
        <w:ind w:firstLine="480"/>
        <w:rPr>
          <w:rFonts w:ascii="仿宋" w:hAnsi="仿宋" w:eastAsia="仿宋"/>
          <w:sz w:val="24"/>
        </w:rPr>
      </w:pPr>
      <w:r>
        <w:rPr>
          <w:rFonts w:hint="eastAsia" w:ascii="仿宋" w:hAnsi="仿宋" w:eastAsia="仿宋"/>
          <w:sz w:val="24"/>
        </w:rPr>
        <w:t>本项目可承担开发肿瘤靶向性递送系统平台技术</w:t>
      </w:r>
      <w:r>
        <w:rPr>
          <w:rFonts w:ascii="仿宋" w:hAnsi="仿宋" w:eastAsia="仿宋"/>
          <w:sz w:val="24"/>
        </w:rPr>
        <w:t>1</w:t>
      </w:r>
      <w:r>
        <w:rPr>
          <w:rFonts w:hint="eastAsia" w:ascii="仿宋" w:hAnsi="仿宋" w:eastAsia="仿宋"/>
          <w:sz w:val="24"/>
        </w:rPr>
        <w:t>项暨产品</w:t>
      </w:r>
      <w:r>
        <w:rPr>
          <w:rFonts w:ascii="仿宋" w:hAnsi="仿宋" w:eastAsia="仿宋"/>
          <w:sz w:val="24"/>
        </w:rPr>
        <w:t>1</w:t>
      </w:r>
      <w:r>
        <w:rPr>
          <w:rFonts w:hint="eastAsia" w:ascii="仿宋" w:hAnsi="仿宋" w:eastAsia="仿宋"/>
          <w:sz w:val="24"/>
        </w:rPr>
        <w:t>个</w:t>
      </w:r>
      <w:r>
        <w:rPr>
          <w:rFonts w:ascii="仿宋" w:hAnsi="仿宋" w:eastAsia="仿宋"/>
          <w:sz w:val="24"/>
        </w:rPr>
        <w:t xml:space="preserve">, </w:t>
      </w:r>
      <w:r>
        <w:rPr>
          <w:rFonts w:hint="eastAsia" w:ascii="仿宋" w:hAnsi="仿宋" w:eastAsia="仿宋"/>
          <w:sz w:val="24"/>
        </w:rPr>
        <w:t>利用所开发的药物传递系统</w:t>
      </w:r>
      <w:r>
        <w:rPr>
          <w:rFonts w:ascii="仿宋" w:hAnsi="仿宋" w:eastAsia="仿宋"/>
          <w:sz w:val="24"/>
        </w:rPr>
        <w:t xml:space="preserve">(DDS) </w:t>
      </w:r>
      <w:r>
        <w:rPr>
          <w:rFonts w:hint="eastAsia" w:ascii="仿宋" w:hAnsi="仿宋" w:eastAsia="仿宋"/>
          <w:sz w:val="24"/>
        </w:rPr>
        <w:t>将抗肿瘤药物更有效的、准确的传送到肿瘤组织，大幅降低抗肿瘤药物对正常组织和器官的损伤，并大幅提高该药物的有效率和降低使用剂量。</w:t>
      </w:r>
    </w:p>
    <w:p>
      <w:pPr>
        <w:rPr>
          <w:rFonts w:ascii="仿宋" w:hAnsi="仿宋" w:eastAsia="仿宋"/>
          <w:b/>
          <w:sz w:val="24"/>
        </w:rPr>
      </w:pPr>
    </w:p>
    <w:p>
      <w:pPr>
        <w:rPr>
          <w:rFonts w:ascii="仿宋" w:hAnsi="仿宋" w:eastAsia="仿宋"/>
          <w:b/>
          <w:sz w:val="24"/>
        </w:rPr>
      </w:pPr>
      <w:r>
        <w:rPr>
          <w:rFonts w:hint="eastAsia" w:ascii="仿宋" w:hAnsi="仿宋" w:eastAsia="仿宋"/>
          <w:b/>
          <w:sz w:val="24"/>
        </w:rPr>
        <w:t>（六）用于恶性肿瘤治疗的新型疱疹溶瘤病毒的开发应用</w:t>
      </w:r>
    </w:p>
    <w:p>
      <w:pPr>
        <w:jc w:val="center"/>
        <w:rPr>
          <w:rFonts w:ascii="仿宋" w:hAnsi="仿宋" w:eastAsia="仿宋"/>
          <w:sz w:val="24"/>
        </w:rPr>
      </w:pPr>
      <w:r>
        <w:rPr>
          <w:rFonts w:ascii="仿宋" w:hAnsi="仿宋" w:eastAsia="仿宋"/>
          <w:sz w:val="24"/>
        </w:rPr>
        <w:t>——</w:t>
      </w:r>
      <w:r>
        <w:rPr>
          <w:rFonts w:hint="eastAsia" w:ascii="仿宋" w:hAnsi="仿宋" w:eastAsia="仿宋"/>
          <w:sz w:val="24"/>
        </w:rPr>
        <w:t>沈阳坤博士</w:t>
      </w:r>
    </w:p>
    <w:p>
      <w:pPr>
        <w:spacing w:line="360" w:lineRule="auto"/>
        <w:ind w:firstLine="600" w:firstLineChars="250"/>
        <w:rPr>
          <w:rFonts w:ascii="仿宋" w:hAnsi="仿宋" w:eastAsia="仿宋"/>
          <w:sz w:val="24"/>
        </w:rPr>
      </w:pPr>
      <w:r>
        <w:rPr>
          <w:rFonts w:hint="eastAsia" w:ascii="仿宋" w:hAnsi="仿宋" w:eastAsia="仿宋"/>
          <w:sz w:val="24"/>
        </w:rPr>
        <w:t>恶性肿瘤是一类严重威胁人类健康和生命的疾病，是夺走人们生命的罪魁祸首之一。目前肿瘤最主要的治疗方法是手术、放疗、化疗和靶向治疗。然而，针对晚期肿瘤，这些治疗方案综合治疗效果有限，且容易引起肿瘤耐受。因此，开发新的肿瘤治疗方法，对恶性肿瘤患者的生存和生活质量有着极为重要的意义。近年来，肿瘤免疫治疗在临床使用中显示出令人瞩目的疗效。不同于传统治疗手段对肿瘤的直接杀伤作用，肿瘤免疫治疗是指通过激活患者自身的免疫系统，启动并维持肿瘤</w:t>
      </w:r>
      <w:r>
        <w:rPr>
          <w:rFonts w:ascii="仿宋" w:hAnsi="仿宋" w:eastAsia="仿宋"/>
          <w:sz w:val="24"/>
        </w:rPr>
        <w:t>-</w:t>
      </w:r>
      <w:r>
        <w:rPr>
          <w:rFonts w:hint="eastAsia" w:ascii="仿宋" w:hAnsi="仿宋" w:eastAsia="仿宋"/>
          <w:sz w:val="24"/>
        </w:rPr>
        <w:t>免疫的相互作用，从而识别并清除肿瘤的一种治疗手段，具有有效率高，副作用可控和不易复发等优点。目前常见的肿瘤免疫治疗方法包括癌症疫苗、治疗性抗体、单克隆抗体类免疫检查点抑制剂、细胞治疗和溶瘤病毒等方法。与其他肿瘤治疗方法相比，溶瘤病毒疗法最大的优势是它能够根据临床前或者临床中的状况，通过体外基因操作进行定制，满足了肿瘤患者的个性化治疗。随着对溶瘤病毒研究的不断深入以及</w:t>
      </w:r>
      <w:r>
        <w:rPr>
          <w:rFonts w:ascii="仿宋" w:hAnsi="仿宋" w:eastAsia="仿宋"/>
          <w:sz w:val="24"/>
        </w:rPr>
        <w:t>DNA</w:t>
      </w:r>
      <w:r>
        <w:rPr>
          <w:rFonts w:hint="eastAsia" w:ascii="仿宋" w:hAnsi="仿宋" w:eastAsia="仿宋"/>
          <w:sz w:val="24"/>
        </w:rPr>
        <w:t>病毒基因组改造技术的不断成熟，杀伤效率高，靶向性更好的</w:t>
      </w:r>
      <w:r>
        <w:rPr>
          <w:rFonts w:ascii="仿宋" w:hAnsi="仿宋" w:eastAsia="仿宋"/>
          <w:sz w:val="24"/>
        </w:rPr>
        <w:t>HSV-1</w:t>
      </w:r>
      <w:r>
        <w:rPr>
          <w:rFonts w:hint="eastAsia" w:ascii="仿宋" w:hAnsi="仿宋" w:eastAsia="仿宋"/>
          <w:sz w:val="24"/>
        </w:rPr>
        <w:t>类溶瘤病毒也在涌现。</w:t>
      </w:r>
    </w:p>
    <w:p>
      <w:pPr>
        <w:spacing w:line="360" w:lineRule="auto"/>
        <w:ind w:firstLine="600" w:firstLineChars="250"/>
        <w:rPr>
          <w:rFonts w:ascii="仿宋" w:hAnsi="仿宋" w:eastAsia="仿宋"/>
          <w:sz w:val="24"/>
        </w:rPr>
      </w:pPr>
      <w:r>
        <w:rPr>
          <w:rFonts w:hint="eastAsia" w:ascii="仿宋" w:hAnsi="仿宋" w:eastAsia="仿宋"/>
          <w:sz w:val="24"/>
        </w:rPr>
        <w:t>溶瘤病毒疗法作为肿瘤治疗领域的研究热点，是利用天然或者基因改造的病毒治疗肿瘤的一种肿瘤治疗方法，不仅能够裂解肿瘤细胞，还可以释放大量肿瘤特异性抗原（</w:t>
      </w:r>
      <w:r>
        <w:rPr>
          <w:rFonts w:ascii="仿宋" w:hAnsi="仿宋" w:eastAsia="仿宋"/>
          <w:sz w:val="24"/>
        </w:rPr>
        <w:t>Tumor specific antigen</w:t>
      </w:r>
      <w:r>
        <w:rPr>
          <w:rFonts w:hint="eastAsia" w:ascii="仿宋" w:hAnsi="仿宋" w:eastAsia="仿宋"/>
          <w:sz w:val="24"/>
        </w:rPr>
        <w:t>），增加肿瘤微环境中的天然免疫细胞（如各类吞噬细胞和</w:t>
      </w:r>
      <w:r>
        <w:rPr>
          <w:rFonts w:ascii="仿宋" w:hAnsi="仿宋" w:eastAsia="仿宋"/>
          <w:sz w:val="24"/>
        </w:rPr>
        <w:t xml:space="preserve">NK </w:t>
      </w:r>
      <w:r>
        <w:rPr>
          <w:rFonts w:hint="eastAsia" w:ascii="仿宋" w:hAnsi="仿宋" w:eastAsia="仿宋"/>
          <w:sz w:val="24"/>
        </w:rPr>
        <w:t>细胞）和</w:t>
      </w:r>
      <w:r>
        <w:rPr>
          <w:rFonts w:ascii="仿宋" w:hAnsi="仿宋" w:eastAsia="仿宋"/>
          <w:sz w:val="24"/>
        </w:rPr>
        <w:t>T</w:t>
      </w:r>
      <w:r>
        <w:rPr>
          <w:rFonts w:hint="eastAsia" w:ascii="仿宋" w:hAnsi="仿宋" w:eastAsia="仿宋"/>
          <w:sz w:val="24"/>
        </w:rPr>
        <w:t>细胞的浸润，进而诱发全身性的抗肿瘤反应。溶瘤病毒诱导的肿瘤破坏创造了一个促进免疫细胞尤其是</w:t>
      </w:r>
      <w:r>
        <w:rPr>
          <w:rFonts w:ascii="仿宋" w:hAnsi="仿宋" w:eastAsia="仿宋"/>
          <w:sz w:val="24"/>
        </w:rPr>
        <w:t>T</w:t>
      </w:r>
      <w:r>
        <w:rPr>
          <w:rFonts w:hint="eastAsia" w:ascii="仿宋" w:hAnsi="仿宋" w:eastAsia="仿宋"/>
          <w:sz w:val="24"/>
        </w:rPr>
        <w:t>细胞浸润的促炎性肿瘤微环境，而局部免疫抑制信号可通过免疫检查点抑制剂阻断，以促进抗肿瘤反应的激活和放大。在过去</w:t>
      </w:r>
      <w:r>
        <w:rPr>
          <w:rFonts w:ascii="仿宋" w:hAnsi="仿宋" w:eastAsia="仿宋"/>
          <w:sz w:val="24"/>
        </w:rPr>
        <w:t>5</w:t>
      </w:r>
      <w:r>
        <w:rPr>
          <w:rFonts w:hint="eastAsia" w:ascii="仿宋" w:hAnsi="仿宋" w:eastAsia="仿宋"/>
          <w:sz w:val="24"/>
        </w:rPr>
        <w:t>年中，溶瘤病毒联合多种肿瘤治疗方法，尤其是免疫检查点阻断疗法的联合使用在动物实验水平和临床试验都显示出相当大的潜力，表明了溶瘤病毒治疗方案的不断改进是该领域里的重点研究方向。</w:t>
      </w:r>
    </w:p>
    <w:p>
      <w:pPr>
        <w:spacing w:line="360" w:lineRule="auto"/>
        <w:ind w:firstLine="480" w:firstLineChars="200"/>
        <w:rPr>
          <w:rFonts w:ascii="仿宋" w:hAnsi="仿宋" w:eastAsia="仿宋"/>
          <w:sz w:val="24"/>
        </w:rPr>
      </w:pPr>
      <w:r>
        <w:rPr>
          <w:rFonts w:hint="eastAsia" w:ascii="仿宋" w:hAnsi="仿宋" w:eastAsia="仿宋"/>
          <w:sz w:val="24"/>
        </w:rPr>
        <w:t>目前对</w:t>
      </w:r>
      <w:r>
        <w:rPr>
          <w:rFonts w:ascii="仿宋" w:hAnsi="仿宋" w:eastAsia="仿宋"/>
          <w:sz w:val="24"/>
        </w:rPr>
        <w:t>HSV-1</w:t>
      </w:r>
      <w:r>
        <w:rPr>
          <w:rFonts w:hint="eastAsia" w:ascii="仿宋" w:hAnsi="仿宋" w:eastAsia="仿宋"/>
          <w:sz w:val="24"/>
        </w:rPr>
        <w:t>溶瘤病毒的改造，通常是删除病毒的</w:t>
      </w:r>
      <w:r>
        <w:rPr>
          <w:rFonts w:ascii="仿宋" w:hAnsi="仿宋" w:eastAsia="仿宋"/>
          <w:sz w:val="24"/>
        </w:rPr>
        <w:t>ICP34.5</w:t>
      </w:r>
      <w:r>
        <w:rPr>
          <w:rFonts w:hint="eastAsia" w:ascii="仿宋" w:hAnsi="仿宋" w:eastAsia="仿宋"/>
          <w:sz w:val="24"/>
        </w:rPr>
        <w:t>、</w:t>
      </w:r>
      <w:r>
        <w:rPr>
          <w:rFonts w:ascii="仿宋" w:hAnsi="仿宋" w:eastAsia="仿宋"/>
          <w:sz w:val="24"/>
        </w:rPr>
        <w:t>UL24</w:t>
      </w:r>
      <w:r>
        <w:rPr>
          <w:rFonts w:hint="eastAsia" w:ascii="仿宋" w:hAnsi="仿宋" w:eastAsia="仿宋"/>
          <w:sz w:val="24"/>
        </w:rPr>
        <w:t>、</w:t>
      </w:r>
      <w:r>
        <w:rPr>
          <w:rFonts w:ascii="仿宋" w:hAnsi="仿宋" w:eastAsia="仿宋"/>
          <w:sz w:val="24"/>
        </w:rPr>
        <w:t>UL55</w:t>
      </w:r>
      <w:r>
        <w:rPr>
          <w:rFonts w:hint="eastAsia" w:ascii="仿宋" w:hAnsi="仿宋" w:eastAsia="仿宋"/>
          <w:sz w:val="24"/>
        </w:rPr>
        <w:t>和</w:t>
      </w:r>
      <w:r>
        <w:rPr>
          <w:rFonts w:ascii="仿宋" w:hAnsi="仿宋" w:eastAsia="仿宋"/>
          <w:sz w:val="24"/>
        </w:rPr>
        <w:t>UL56</w:t>
      </w:r>
      <w:r>
        <w:rPr>
          <w:rFonts w:hint="eastAsia" w:ascii="仿宋" w:hAnsi="仿宋" w:eastAsia="仿宋"/>
          <w:sz w:val="24"/>
        </w:rPr>
        <w:t>等蛋白基因或者添加</w:t>
      </w:r>
      <w:r>
        <w:rPr>
          <w:rFonts w:ascii="仿宋" w:hAnsi="仿宋" w:eastAsia="仿宋"/>
          <w:sz w:val="24"/>
        </w:rPr>
        <w:t>GM-CSF</w:t>
      </w:r>
      <w:r>
        <w:rPr>
          <w:rFonts w:hint="eastAsia" w:ascii="仿宋" w:hAnsi="仿宋" w:eastAsia="仿宋"/>
          <w:sz w:val="24"/>
        </w:rPr>
        <w:t>等免疫调节因子。然而，目前</w:t>
      </w:r>
      <w:r>
        <w:rPr>
          <w:rFonts w:ascii="仿宋" w:hAnsi="仿宋" w:eastAsia="仿宋"/>
          <w:sz w:val="24"/>
        </w:rPr>
        <w:t>HSV-1</w:t>
      </w:r>
      <w:r>
        <w:rPr>
          <w:rFonts w:hint="eastAsia" w:ascii="仿宋" w:hAnsi="仿宋" w:eastAsia="仿宋"/>
          <w:sz w:val="24"/>
        </w:rPr>
        <w:t>溶瘤病毒的改造需要耗费大量时间，且肿瘤细胞的裂解能力、先天免疫、适应性免疫的激活强度等都将成为系统性</w:t>
      </w:r>
      <w:r>
        <w:rPr>
          <w:rFonts w:ascii="仿宋" w:hAnsi="仿宋" w:eastAsia="仿宋"/>
          <w:sz w:val="24"/>
        </w:rPr>
        <w:t>HSV-1</w:t>
      </w:r>
      <w:r>
        <w:rPr>
          <w:rFonts w:hint="eastAsia" w:ascii="仿宋" w:hAnsi="仿宋" w:eastAsia="仿宋"/>
          <w:sz w:val="24"/>
        </w:rPr>
        <w:t>溶瘤治疗的障碍。由于前期我们已经成功开发利用</w:t>
      </w:r>
      <w:r>
        <w:rPr>
          <w:rFonts w:ascii="仿宋" w:hAnsi="仿宋" w:eastAsia="仿宋"/>
          <w:sz w:val="24"/>
        </w:rPr>
        <w:t>CRISPR</w:t>
      </w:r>
      <w:r>
        <w:rPr>
          <w:rFonts w:hint="eastAsia" w:ascii="仿宋" w:hAnsi="仿宋" w:eastAsia="仿宋"/>
          <w:sz w:val="24"/>
        </w:rPr>
        <w:t>技术编辑病毒的方法，我们根据对肿瘤以及</w:t>
      </w:r>
      <w:r>
        <w:rPr>
          <w:rFonts w:ascii="仿宋" w:hAnsi="仿宋" w:eastAsia="仿宋"/>
          <w:sz w:val="24"/>
        </w:rPr>
        <w:t>HSV-1</w:t>
      </w:r>
      <w:r>
        <w:rPr>
          <w:rFonts w:hint="eastAsia" w:ascii="仿宋" w:hAnsi="仿宋" w:eastAsia="仿宋"/>
          <w:sz w:val="24"/>
        </w:rPr>
        <w:t>病毒的理解，做了如下研究：</w:t>
      </w:r>
    </w:p>
    <w:p>
      <w:pPr>
        <w:spacing w:line="360" w:lineRule="auto"/>
        <w:rPr>
          <w:rFonts w:ascii="仿宋" w:hAnsi="仿宋" w:eastAsia="仿宋"/>
          <w:b/>
          <w:iCs/>
          <w:sz w:val="24"/>
        </w:rPr>
      </w:pPr>
      <w:r>
        <w:rPr>
          <w:rFonts w:hint="eastAsia" w:ascii="仿宋" w:hAnsi="仿宋" w:eastAsia="仿宋"/>
          <w:b/>
          <w:iCs/>
          <w:sz w:val="24"/>
        </w:rPr>
        <w:t>研究开发内容：</w:t>
      </w:r>
    </w:p>
    <w:p>
      <w:pPr>
        <w:spacing w:line="360" w:lineRule="auto"/>
        <w:rPr>
          <w:rFonts w:ascii="仿宋" w:hAnsi="仿宋" w:eastAsia="仿宋"/>
          <w:sz w:val="24"/>
        </w:rPr>
      </w:pPr>
      <w:r>
        <w:rPr>
          <w:rFonts w:ascii="仿宋" w:hAnsi="仿宋" w:eastAsia="仿宋"/>
          <w:sz w:val="24"/>
        </w:rPr>
        <w:t>1</w:t>
      </w:r>
      <w:r>
        <w:rPr>
          <w:rFonts w:hint="eastAsia" w:ascii="仿宋" w:hAnsi="仿宋" w:eastAsia="仿宋"/>
          <w:sz w:val="24"/>
        </w:rPr>
        <w:t>、我们团队在前期大量的研究的基础上自主研发了高效精准的</w:t>
      </w:r>
      <w:r>
        <w:rPr>
          <w:rFonts w:ascii="仿宋" w:hAnsi="仿宋" w:eastAsia="仿宋"/>
          <w:sz w:val="24"/>
        </w:rPr>
        <w:t>HSV-1</w:t>
      </w:r>
      <w:r>
        <w:rPr>
          <w:rFonts w:hint="eastAsia" w:ascii="仿宋" w:hAnsi="仿宋" w:eastAsia="仿宋"/>
          <w:sz w:val="24"/>
        </w:rPr>
        <w:t>溶瘤病毒基因编辑技术</w:t>
      </w:r>
      <w:r>
        <w:rPr>
          <w:rFonts w:ascii="仿宋" w:hAnsi="仿宋" w:eastAsia="仿宋"/>
          <w:sz w:val="24"/>
        </w:rPr>
        <w:t>CRISPR-V</w:t>
      </w:r>
      <w:r>
        <w:rPr>
          <w:rFonts w:hint="eastAsia" w:ascii="仿宋" w:hAnsi="仿宋" w:eastAsia="仿宋"/>
          <w:sz w:val="24"/>
        </w:rPr>
        <w:t>。相关技术正在申请国家专利。</w:t>
      </w:r>
    </w:p>
    <w:p>
      <w:pPr>
        <w:spacing w:line="360" w:lineRule="auto"/>
        <w:rPr>
          <w:rFonts w:ascii="仿宋" w:hAnsi="仿宋" w:eastAsia="仿宋"/>
          <w:sz w:val="24"/>
        </w:rPr>
      </w:pPr>
      <w:r>
        <w:rPr>
          <w:rFonts w:ascii="仿宋" w:hAnsi="仿宋" w:eastAsia="仿宋"/>
          <w:sz w:val="24"/>
        </w:rPr>
        <w:t>2</w:t>
      </w:r>
      <w:r>
        <w:rPr>
          <w:rFonts w:hint="eastAsia" w:ascii="仿宋" w:hAnsi="仿宋" w:eastAsia="仿宋"/>
          <w:sz w:val="24"/>
        </w:rPr>
        <w:t>、我们利用</w:t>
      </w:r>
      <w:r>
        <w:rPr>
          <w:rFonts w:ascii="仿宋" w:hAnsi="仿宋" w:eastAsia="仿宋"/>
          <w:sz w:val="24"/>
        </w:rPr>
        <w:t>CRISPR-V</w:t>
      </w:r>
      <w:r>
        <w:rPr>
          <w:rFonts w:hint="eastAsia" w:ascii="仿宋" w:hAnsi="仿宋" w:eastAsia="仿宋"/>
          <w:sz w:val="24"/>
        </w:rPr>
        <w:t>平台开发了原创性溶瘤病毒产品</w:t>
      </w:r>
      <w:bookmarkStart w:id="0" w:name="OLE_LINK4"/>
      <w:r>
        <w:rPr>
          <w:rFonts w:ascii="仿宋" w:hAnsi="仿宋" w:eastAsia="仿宋"/>
          <w:sz w:val="24"/>
        </w:rPr>
        <w:t>Model-T</w:t>
      </w:r>
      <w:bookmarkEnd w:id="0"/>
      <w:r>
        <w:rPr>
          <w:rFonts w:hint="eastAsia" w:ascii="仿宋" w:hAnsi="仿宋" w:eastAsia="仿宋"/>
          <w:sz w:val="24"/>
        </w:rPr>
        <w:t>。相关技术正在申请国家专利。</w:t>
      </w:r>
    </w:p>
    <w:p>
      <w:pPr>
        <w:spacing w:line="360" w:lineRule="auto"/>
        <w:rPr>
          <w:rFonts w:ascii="仿宋" w:hAnsi="仿宋" w:eastAsia="仿宋"/>
          <w:sz w:val="24"/>
        </w:rPr>
      </w:pPr>
      <w:r>
        <w:rPr>
          <w:rFonts w:ascii="仿宋" w:hAnsi="仿宋" w:eastAsia="仿宋"/>
          <w:sz w:val="24"/>
        </w:rPr>
        <w:t>3</w:t>
      </w:r>
      <w:r>
        <w:rPr>
          <w:rFonts w:hint="eastAsia" w:ascii="仿宋" w:hAnsi="仿宋" w:eastAsia="仿宋"/>
          <w:sz w:val="24"/>
        </w:rPr>
        <w:t>、开发出</w:t>
      </w:r>
      <w:r>
        <w:rPr>
          <w:rFonts w:ascii="仿宋" w:hAnsi="仿宋" w:eastAsia="仿宋"/>
          <w:sz w:val="24"/>
        </w:rPr>
        <w:t>ProGene—</w:t>
      </w:r>
      <w:r>
        <w:rPr>
          <w:rFonts w:hint="eastAsia" w:ascii="仿宋" w:hAnsi="仿宋" w:eastAsia="仿宋"/>
          <w:sz w:val="24"/>
        </w:rPr>
        <w:t>全球首创溶瘤病毒疗法伴随诊断试剂盒。相关技术正在申请国家专利。</w:t>
      </w:r>
    </w:p>
    <w:p>
      <w:pPr>
        <w:spacing w:line="360" w:lineRule="auto"/>
        <w:rPr>
          <w:rFonts w:ascii="仿宋" w:hAnsi="仿宋" w:eastAsia="仿宋"/>
          <w:b/>
          <w:bCs/>
          <w:sz w:val="24"/>
        </w:rPr>
      </w:pPr>
      <w:r>
        <w:rPr>
          <w:rFonts w:hint="eastAsia" w:ascii="仿宋" w:hAnsi="仿宋" w:eastAsia="仿宋"/>
          <w:b/>
          <w:bCs/>
          <w:sz w:val="24"/>
        </w:rPr>
        <w:t>成果目标：</w:t>
      </w:r>
    </w:p>
    <w:p>
      <w:pPr>
        <w:spacing w:line="360" w:lineRule="auto"/>
        <w:rPr>
          <w:rFonts w:ascii="仿宋" w:hAnsi="仿宋" w:eastAsia="仿宋"/>
          <w:sz w:val="24"/>
        </w:rPr>
      </w:pPr>
      <w:r>
        <w:rPr>
          <w:rFonts w:hint="eastAsia" w:ascii="仿宋" w:hAnsi="仿宋" w:eastAsia="仿宋"/>
          <w:sz w:val="24"/>
        </w:rPr>
        <w:t>随着技术的进步，溶瘤病毒的发展也进入了快车道。我们的具体目标为：</w:t>
      </w:r>
    </w:p>
    <w:p>
      <w:pPr>
        <w:spacing w:line="360" w:lineRule="auto"/>
        <w:rPr>
          <w:rFonts w:ascii="仿宋" w:hAnsi="仿宋" w:eastAsia="仿宋"/>
          <w:sz w:val="24"/>
        </w:rPr>
      </w:pPr>
      <w:r>
        <w:rPr>
          <w:rFonts w:ascii="仿宋" w:hAnsi="仿宋" w:eastAsia="仿宋"/>
          <w:sz w:val="24"/>
        </w:rPr>
        <w:t>1</w:t>
      </w:r>
      <w:r>
        <w:rPr>
          <w:rFonts w:hint="eastAsia" w:ascii="仿宋" w:hAnsi="仿宋" w:eastAsia="仿宋"/>
          <w:sz w:val="24"/>
        </w:rPr>
        <w:t>、推动原创性新型</w:t>
      </w:r>
      <w:r>
        <w:rPr>
          <w:rFonts w:ascii="仿宋" w:hAnsi="仿宋" w:eastAsia="仿宋"/>
          <w:sz w:val="24"/>
        </w:rPr>
        <w:t>HSV-1</w:t>
      </w:r>
      <w:r>
        <w:rPr>
          <w:rFonts w:hint="eastAsia" w:ascii="仿宋" w:hAnsi="仿宋" w:eastAsia="仿宋"/>
          <w:sz w:val="24"/>
        </w:rPr>
        <w:t>溶瘤病毒产品</w:t>
      </w:r>
      <w:r>
        <w:rPr>
          <w:rFonts w:ascii="仿宋" w:hAnsi="仿宋" w:eastAsia="仿宋"/>
          <w:sz w:val="24"/>
        </w:rPr>
        <w:t>Model-T</w:t>
      </w:r>
      <w:r>
        <w:rPr>
          <w:rFonts w:hint="eastAsia" w:ascii="仿宋" w:hAnsi="仿宋" w:eastAsia="仿宋"/>
          <w:sz w:val="24"/>
        </w:rPr>
        <w:t>的临床应用；</w:t>
      </w:r>
    </w:p>
    <w:p>
      <w:pPr>
        <w:spacing w:line="360" w:lineRule="auto"/>
        <w:rPr>
          <w:rFonts w:ascii="仿宋" w:hAnsi="仿宋" w:eastAsia="仿宋"/>
          <w:sz w:val="24"/>
        </w:rPr>
      </w:pPr>
      <w:r>
        <w:rPr>
          <w:rFonts w:ascii="仿宋" w:hAnsi="仿宋" w:eastAsia="仿宋"/>
          <w:sz w:val="24"/>
        </w:rPr>
        <w:t>2</w:t>
      </w:r>
      <w:r>
        <w:rPr>
          <w:rFonts w:hint="eastAsia" w:ascii="仿宋" w:hAnsi="仿宋" w:eastAsia="仿宋"/>
          <w:sz w:val="24"/>
        </w:rPr>
        <w:t>、推动全球首创的</w:t>
      </w:r>
      <w:r>
        <w:rPr>
          <w:rFonts w:ascii="仿宋" w:hAnsi="仿宋" w:eastAsia="仿宋"/>
          <w:sz w:val="24"/>
        </w:rPr>
        <w:t>ProGene—</w:t>
      </w:r>
      <w:r>
        <w:rPr>
          <w:rFonts w:hint="eastAsia" w:ascii="仿宋" w:hAnsi="仿宋" w:eastAsia="仿宋"/>
          <w:sz w:val="24"/>
        </w:rPr>
        <w:t>溶瘤病毒疗法伴随诊断试剂盒的临床开发；</w:t>
      </w:r>
    </w:p>
    <w:p>
      <w:pPr>
        <w:rPr>
          <w:rFonts w:ascii="仿宋" w:hAnsi="仿宋" w:eastAsia="仿宋"/>
          <w:b/>
          <w:sz w:val="24"/>
        </w:rPr>
      </w:pPr>
      <w:r>
        <w:rPr>
          <w:rFonts w:hint="eastAsia" w:ascii="仿宋" w:hAnsi="仿宋" w:eastAsia="仿宋"/>
          <w:b/>
          <w:sz w:val="24"/>
        </w:rPr>
        <w:t>（七）植物油改性胶印油墨连接料的一步法制备技术</w:t>
      </w:r>
    </w:p>
    <w:p>
      <w:pPr>
        <w:jc w:val="center"/>
        <w:rPr>
          <w:rFonts w:ascii="仿宋" w:hAnsi="仿宋" w:eastAsia="仿宋"/>
          <w:sz w:val="24"/>
        </w:rPr>
      </w:pPr>
      <w:r>
        <w:rPr>
          <w:rFonts w:ascii="仿宋" w:hAnsi="仿宋" w:eastAsia="仿宋"/>
          <w:sz w:val="24"/>
        </w:rPr>
        <w:t>——</w:t>
      </w:r>
      <w:r>
        <w:rPr>
          <w:rFonts w:hint="eastAsia" w:ascii="仿宋" w:hAnsi="仿宋" w:eastAsia="仿宋"/>
          <w:sz w:val="24"/>
        </w:rPr>
        <w:t>黄宝铨教授</w:t>
      </w:r>
    </w:p>
    <w:p>
      <w:pPr>
        <w:spacing w:line="360" w:lineRule="auto"/>
        <w:ind w:firstLine="600" w:firstLineChars="250"/>
        <w:rPr>
          <w:rFonts w:ascii="仿宋" w:hAnsi="仿宋" w:eastAsia="仿宋"/>
          <w:sz w:val="24"/>
        </w:rPr>
      </w:pPr>
      <w:r>
        <w:rPr>
          <w:rFonts w:hint="eastAsia" w:ascii="仿宋" w:hAnsi="仿宋" w:eastAsia="仿宋"/>
          <w:sz w:val="24"/>
        </w:rPr>
        <w:t>胶印油墨连接料主要由松香改性酚醛树脂、石油溶剂、植物油及其它添加剂等制备而成。常规的胶印油墨连接料要先制备固体状的松香改性酚醛树脂，然后再进一步制备液体的油墨连接料。本技术采用一步法工艺直接制备胶印油墨连接料，生产工艺易操作、安全，生产周期短。连接料色泽浅、粘弹性好，制成的油墨印刷适性好，固着快、光泽高，流动性及流变性好，具有优良的印刷效果，是一种理想的高档胶印油墨用连接料。项目具备产业化生产应用前景。</w:t>
      </w:r>
    </w:p>
    <w:p>
      <w:pPr>
        <w:spacing w:line="360" w:lineRule="auto"/>
        <w:ind w:firstLine="600" w:firstLineChars="250"/>
        <w:rPr>
          <w:rFonts w:ascii="仿宋" w:hAnsi="仿宋" w:eastAsia="仿宋"/>
          <w:sz w:val="24"/>
        </w:rPr>
      </w:pPr>
      <w:r>
        <w:rPr>
          <w:rFonts w:hint="eastAsia" w:ascii="仿宋" w:hAnsi="仿宋" w:eastAsia="仿宋"/>
          <w:sz w:val="24"/>
        </w:rPr>
        <w:t>本项目涉及纸张胶印油墨用的新型高档胶印油墨连接料的制备技术，该技术在自有知识产权发明专利“一种高粘度高溶解性松香改性酚醛树脂的制备方法”（</w:t>
      </w:r>
      <w:r>
        <w:rPr>
          <w:rFonts w:ascii="仿宋" w:hAnsi="仿宋" w:eastAsia="仿宋"/>
          <w:sz w:val="24"/>
        </w:rPr>
        <w:t>ZL</w:t>
      </w:r>
      <w:r>
        <w:fldChar w:fldCharType="begin"/>
      </w:r>
      <w:r>
        <w:instrText xml:space="preserve"> HYPERLINK "http://search.sipo.gov.cn/sipo/zljs/hyjs-yx-new.jsp?recid=CN200710009003.1&amp;leixin=fmzl&amp;title=一种高粘度高溶解性松香改性酚醛树脂的制备方法&amp;ipc=C08G8/34(2006.01)I" \t "_blank" </w:instrText>
      </w:r>
      <w:r>
        <w:fldChar w:fldCharType="separate"/>
      </w:r>
      <w:r>
        <w:rPr>
          <w:rFonts w:ascii="仿宋" w:hAnsi="仿宋" w:eastAsia="仿宋"/>
          <w:sz w:val="24"/>
        </w:rPr>
        <w:t>200710009003.1</w:t>
      </w:r>
      <w:r>
        <w:rPr>
          <w:rFonts w:ascii="仿宋" w:hAnsi="仿宋" w:eastAsia="仿宋"/>
          <w:sz w:val="24"/>
        </w:rPr>
        <w:fldChar w:fldCharType="end"/>
      </w:r>
      <w:r>
        <w:rPr>
          <w:rFonts w:hint="eastAsia" w:ascii="仿宋" w:hAnsi="仿宋" w:eastAsia="仿宋"/>
          <w:sz w:val="24"/>
        </w:rPr>
        <w:t>）和“</w:t>
      </w:r>
      <w:r>
        <w:fldChar w:fldCharType="begin"/>
      </w:r>
      <w:r>
        <w:instrText xml:space="preserve"> HYPERLINK "http://search.sipo.gov.cn/sipo/zljs/hyjs-yx-new.jsp?recid=CN200810071026.X&amp;leixin=fmzl&amp;title=一种胶版印刷用环保型调墨油的制备方法&amp;ipc=C09D11/00(2006.01)I" \t "_blank" </w:instrText>
      </w:r>
      <w:r>
        <w:fldChar w:fldCharType="separate"/>
      </w:r>
      <w:bookmarkStart w:id="1" w:name="_Hlt258513305"/>
      <w:bookmarkStart w:id="2" w:name="_Hlt258513306"/>
      <w:r>
        <w:rPr>
          <w:rFonts w:hint="eastAsia" w:ascii="仿宋" w:hAnsi="仿宋" w:eastAsia="仿宋"/>
          <w:sz w:val="24"/>
        </w:rPr>
        <w:t>一</w:t>
      </w:r>
      <w:bookmarkEnd w:id="1"/>
      <w:bookmarkEnd w:id="2"/>
      <w:r>
        <w:rPr>
          <w:rFonts w:hint="eastAsia" w:ascii="仿宋" w:hAnsi="仿宋" w:eastAsia="仿宋"/>
          <w:sz w:val="24"/>
        </w:rPr>
        <w:t>种胶版印刷用环保型调墨油的制备方法”</w:t>
      </w:r>
      <w:r>
        <w:rPr>
          <w:rFonts w:ascii="仿宋" w:hAnsi="仿宋" w:eastAsia="仿宋"/>
          <w:sz w:val="24"/>
        </w:rPr>
        <w:t xml:space="preserve"> </w:t>
      </w:r>
      <w:r>
        <w:rPr>
          <w:rFonts w:hint="eastAsia" w:ascii="仿宋" w:hAnsi="仿宋" w:eastAsia="仿宋"/>
          <w:sz w:val="24"/>
        </w:rPr>
        <w:t>（</w:t>
      </w:r>
      <w:r>
        <w:rPr>
          <w:rFonts w:ascii="仿宋" w:hAnsi="仿宋" w:eastAsia="仿宋"/>
          <w:sz w:val="24"/>
        </w:rPr>
        <w:t>ZL</w:t>
      </w:r>
      <w:r>
        <w:rPr>
          <w:rFonts w:hint="eastAsia" w:ascii="仿宋" w:hAnsi="仿宋" w:eastAsia="仿宋"/>
          <w:sz w:val="24"/>
        </w:rPr>
        <w:t>）</w:t>
      </w:r>
      <w:r>
        <w:rPr>
          <w:rFonts w:ascii="仿宋" w:hAnsi="仿宋" w:eastAsia="仿宋"/>
          <w:sz w:val="24"/>
        </w:rPr>
        <w:t xml:space="preserve"> </w:t>
      </w:r>
      <w:r>
        <w:rPr>
          <w:rFonts w:ascii="仿宋" w:hAnsi="仿宋" w:eastAsia="仿宋"/>
          <w:sz w:val="24"/>
        </w:rPr>
        <w:fldChar w:fldCharType="end"/>
      </w:r>
      <w:r>
        <w:rPr>
          <w:rFonts w:hint="eastAsia" w:ascii="仿宋" w:hAnsi="仿宋" w:eastAsia="仿宋"/>
          <w:sz w:val="24"/>
        </w:rPr>
        <w:t>的技术基础上，经进一步创新提高。项目技术是先按一定配比将松香溶解于一部分的石油溶剂中，再分别投入烷基苯酚、多聚甲醛、催化剂及少量自来水等，接着控制一定的反应条件进行酚醛缩合反应及松香</w:t>
      </w:r>
      <w:bookmarkStart w:id="3" w:name="_Hlk97025251"/>
      <w:r>
        <w:rPr>
          <w:rFonts w:hint="eastAsia" w:ascii="仿宋" w:hAnsi="仿宋" w:eastAsia="仿宋"/>
          <w:sz w:val="24"/>
        </w:rPr>
        <w:t>环化改性反应</w:t>
      </w:r>
      <w:bookmarkEnd w:id="3"/>
      <w:r>
        <w:rPr>
          <w:rFonts w:hint="eastAsia" w:ascii="仿宋" w:hAnsi="仿宋" w:eastAsia="仿宋"/>
          <w:sz w:val="24"/>
        </w:rPr>
        <w:t>；环化反应结束后，加入酯化剂（或多元醇）及部分植物油（亚油）进行升温酯化反应，之后再加入余量亚油、豆油、石油溶剂及一定量的胶凝剂混合液，最后加入适量抗氧剂进一步调整粘度等性能指标而成。</w:t>
      </w:r>
    </w:p>
    <w:p>
      <w:pPr>
        <w:rPr>
          <w:rFonts w:ascii="仿宋" w:hAnsi="仿宋" w:eastAsia="仿宋"/>
          <w:b/>
          <w:sz w:val="24"/>
        </w:rPr>
      </w:pPr>
    </w:p>
    <w:p>
      <w:pPr>
        <w:rPr>
          <w:rFonts w:ascii="仿宋" w:hAnsi="仿宋" w:eastAsia="仿宋"/>
          <w:b/>
          <w:sz w:val="24"/>
        </w:rPr>
      </w:pPr>
      <w:r>
        <w:rPr>
          <w:rFonts w:hint="eastAsia" w:ascii="仿宋" w:hAnsi="仿宋" w:eastAsia="仿宋"/>
          <w:b/>
          <w:sz w:val="24"/>
        </w:rPr>
        <w:t>（八）功能性高分子微纳米材料的可控制备技术</w:t>
      </w:r>
    </w:p>
    <w:p>
      <w:pPr>
        <w:jc w:val="center"/>
        <w:rPr>
          <w:rFonts w:ascii="仿宋" w:hAnsi="仿宋" w:eastAsia="仿宋"/>
          <w:sz w:val="24"/>
        </w:rPr>
      </w:pPr>
      <w:r>
        <w:rPr>
          <w:rFonts w:ascii="仿宋" w:hAnsi="仿宋" w:eastAsia="仿宋"/>
          <w:sz w:val="24"/>
        </w:rPr>
        <w:t>——</w:t>
      </w:r>
      <w:r>
        <w:rPr>
          <w:rFonts w:hint="eastAsia" w:ascii="仿宋" w:hAnsi="仿宋" w:eastAsia="仿宋"/>
          <w:sz w:val="24"/>
        </w:rPr>
        <w:t>孙晓丽副教授</w:t>
      </w:r>
    </w:p>
    <w:p>
      <w:pPr>
        <w:spacing w:line="360" w:lineRule="auto"/>
        <w:ind w:firstLine="600" w:firstLineChars="250"/>
        <w:rPr>
          <w:rFonts w:ascii="仿宋" w:hAnsi="仿宋" w:eastAsia="仿宋"/>
          <w:sz w:val="24"/>
        </w:rPr>
      </w:pPr>
      <w:r>
        <w:rPr>
          <w:rFonts w:hint="eastAsia" w:ascii="仿宋" w:hAnsi="仿宋" w:eastAsia="仿宋"/>
          <w:sz w:val="24"/>
        </w:rPr>
        <w:t>高分子微纳米材料因其优异的性能在诊断成像、微反应器、药物控释和材料模板等领域具有广阔的应用。制备各种形貌的聚合物纳米材料是提高材料性能和赋予其新功能的有力手段。传统的高分子微纳米材料制备方法有非均相聚合法和溶液自组装法。非均相聚合法制备的材料多限于球形，溶液自组装法过程操作复杂耗时、难以控制、重复性差、且固含量低，限制了其应用。聚合诱导自组装方法是一种简单通用的制备各种形貌高分子纳米材料的方法。该方法通过聚合过程中高分子链的增长来改变和溶剂的相互作用，诱发相分离进行自组装，具有一步完成、操作简单、固含量高达</w:t>
      </w:r>
      <w:r>
        <w:rPr>
          <w:rFonts w:ascii="仿宋" w:hAnsi="仿宋" w:eastAsia="仿宋"/>
          <w:sz w:val="24"/>
        </w:rPr>
        <w:t>50%</w:t>
      </w:r>
      <w:r>
        <w:rPr>
          <w:rFonts w:hint="eastAsia" w:ascii="仿宋" w:hAnsi="仿宋" w:eastAsia="仿宋"/>
          <w:sz w:val="24"/>
        </w:rPr>
        <w:t>、形貌调控性好等优点，使得高分子微纳米材料的规模化生产和应用成为可能。经过十几年的发展，聚合诱导自组装技术在纳米复合材料、生物医用材料、电池、功能涂料、</w:t>
      </w:r>
      <w:r>
        <w:rPr>
          <w:rFonts w:ascii="仿宋" w:hAnsi="仿宋" w:eastAsia="仿宋"/>
          <w:sz w:val="24"/>
        </w:rPr>
        <w:t>Pickering</w:t>
      </w:r>
      <w:r>
        <w:rPr>
          <w:rFonts w:hint="eastAsia" w:ascii="仿宋" w:hAnsi="仿宋" w:eastAsia="仿宋"/>
          <w:sz w:val="24"/>
        </w:rPr>
        <w:t>乳化剂、纳米结构膜、水凝胶、发光材料等相关领域的已有应用性研究，但该研究仍处于探索和初步阶段，其产业化有待进一步推进。</w:t>
      </w:r>
    </w:p>
    <w:p>
      <w:pPr>
        <w:spacing w:line="360" w:lineRule="auto"/>
        <w:ind w:firstLine="600" w:firstLineChars="250"/>
        <w:rPr>
          <w:rFonts w:ascii="仿宋" w:hAnsi="仿宋" w:eastAsia="仿宋"/>
          <w:sz w:val="24"/>
        </w:rPr>
      </w:pPr>
      <w:r>
        <w:rPr>
          <w:rFonts w:ascii="仿宋" w:hAnsi="仿宋" w:eastAsia="仿宋"/>
          <w:sz w:val="24"/>
        </w:rPr>
        <w:drawing>
          <wp:inline distT="0" distB="0" distL="114300" distR="114300">
            <wp:extent cx="4333875" cy="2867025"/>
            <wp:effectExtent l="0" t="0" r="9525" b="0"/>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pic:cNvPicPr>
                  </pic:nvPicPr>
                  <pic:blipFill>
                    <a:blip r:embed="rId12"/>
                    <a:stretch>
                      <a:fillRect/>
                    </a:stretch>
                  </pic:blipFill>
                  <pic:spPr>
                    <a:xfrm>
                      <a:off x="0" y="0"/>
                      <a:ext cx="4333875" cy="2867025"/>
                    </a:xfrm>
                    <a:prstGeom prst="rect">
                      <a:avLst/>
                    </a:prstGeom>
                    <a:noFill/>
                    <a:ln w="9525">
                      <a:noFill/>
                    </a:ln>
                  </pic:spPr>
                </pic:pic>
              </a:graphicData>
            </a:graphic>
          </wp:inline>
        </w:drawing>
      </w:r>
    </w:p>
    <w:p>
      <w:pPr>
        <w:jc w:val="center"/>
        <w:rPr>
          <w:rFonts w:ascii="仿宋" w:hAnsi="仿宋" w:eastAsia="仿宋"/>
          <w:sz w:val="24"/>
        </w:rPr>
      </w:pPr>
    </w:p>
    <w:p/>
    <w:p>
      <w:pPr>
        <w:spacing w:line="400" w:lineRule="exact"/>
        <w:jc w:val="left"/>
        <w:rPr>
          <w:rFonts w:ascii="黑体" w:hAnsi="黑体" w:eastAsia="黑体" w:cs="黑体"/>
          <w:bCs/>
          <w:sz w:val="32"/>
          <w:szCs w:val="28"/>
        </w:rPr>
      </w:pPr>
      <w:r>
        <w:rPr>
          <w:rFonts w:hint="eastAsia" w:ascii="黑体" w:hAnsi="黑体" w:eastAsia="黑体" w:cs="黑体"/>
          <w:bCs/>
          <w:sz w:val="32"/>
          <w:szCs w:val="28"/>
        </w:rPr>
        <w:t>三、福建工程学院（</w:t>
      </w:r>
      <w:r>
        <w:rPr>
          <w:rFonts w:ascii="黑体" w:hAnsi="黑体" w:eastAsia="黑体" w:cs="黑体"/>
          <w:bCs/>
          <w:sz w:val="32"/>
          <w:szCs w:val="28"/>
        </w:rPr>
        <w:t>6</w:t>
      </w:r>
      <w:r>
        <w:rPr>
          <w:rFonts w:hint="eastAsia" w:ascii="黑体" w:hAnsi="黑体" w:eastAsia="黑体" w:cs="黑体"/>
          <w:bCs/>
          <w:sz w:val="32"/>
          <w:szCs w:val="28"/>
        </w:rPr>
        <w:t>项）</w:t>
      </w:r>
    </w:p>
    <w:p>
      <w:pPr>
        <w:rPr>
          <w:rFonts w:ascii="仿宋" w:hAnsi="仿宋" w:eastAsia="仿宋"/>
          <w:b/>
          <w:sz w:val="24"/>
        </w:rPr>
      </w:pPr>
      <w:r>
        <w:rPr>
          <w:rFonts w:hint="eastAsia" w:ascii="仿宋" w:hAnsi="仿宋" w:eastAsia="仿宋"/>
          <w:b/>
          <w:sz w:val="24"/>
        </w:rPr>
        <w:t>（一）汽车驾驶平视显示的长焦曲面反射镜</w:t>
      </w:r>
    </w:p>
    <w:p>
      <w:pPr>
        <w:spacing w:line="360" w:lineRule="auto"/>
        <w:ind w:firstLine="602" w:firstLineChars="250"/>
        <w:rPr>
          <w:rFonts w:ascii="仿宋" w:hAnsi="仿宋" w:eastAsia="仿宋"/>
          <w:sz w:val="24"/>
        </w:rPr>
      </w:pPr>
      <w:r>
        <w:rPr>
          <w:rFonts w:ascii="仿宋" w:hAnsi="仿宋" w:eastAsia="仿宋"/>
          <w:b/>
          <w:color w:val="000000"/>
          <w:sz w:val="24"/>
        </w:rPr>
        <w:t xml:space="preserve">                                 </w:t>
      </w:r>
      <w:r>
        <w:rPr>
          <w:rFonts w:ascii="仿宋" w:hAnsi="仿宋" w:eastAsia="仿宋"/>
          <w:sz w:val="24"/>
        </w:rPr>
        <w:t xml:space="preserve"> ——</w:t>
      </w:r>
      <w:r>
        <w:rPr>
          <w:rFonts w:hint="eastAsia" w:ascii="仿宋" w:hAnsi="仿宋" w:eastAsia="仿宋"/>
          <w:sz w:val="24"/>
        </w:rPr>
        <w:t>花能斌副教授</w:t>
      </w:r>
    </w:p>
    <w:p>
      <w:pPr>
        <w:spacing w:line="360" w:lineRule="auto"/>
        <w:ind w:firstLine="600" w:firstLineChars="250"/>
        <w:rPr>
          <w:rFonts w:ascii="仿宋" w:hAnsi="仿宋" w:eastAsia="仿宋"/>
          <w:sz w:val="24"/>
        </w:rPr>
      </w:pPr>
      <w:r>
        <w:rPr>
          <w:rFonts w:hint="eastAsia" w:ascii="仿宋" w:hAnsi="仿宋" w:eastAsia="仿宋"/>
          <w:sz w:val="24"/>
        </w:rPr>
        <w:t>项目是汽车平视显示系统（简称</w:t>
      </w:r>
      <w:r>
        <w:rPr>
          <w:rFonts w:ascii="仿宋" w:hAnsi="仿宋" w:eastAsia="仿宋"/>
          <w:sz w:val="24"/>
        </w:rPr>
        <w:t>HUD</w:t>
      </w:r>
      <w:r>
        <w:rPr>
          <w:rFonts w:hint="eastAsia" w:ascii="仿宋" w:hAnsi="仿宋" w:eastAsia="仿宋"/>
          <w:sz w:val="24"/>
        </w:rPr>
        <w:t>或抬头显）的核心光学元件，是针对人们对行车安全和体验需求的增加而开发的一款长焦距显示反射镜。通过先进的光学反射镜设计技术和超精密模具关键技术研究，创新开发集远焦距、大曲面、高精度于一体的新型产品并实施产业化，推动我省的汽车配件向智能化、多功能化、高精度方向发展，带来经济效益和社会效益，提高竞争力。同时，为助推我省汽车行业智能光学新产品的开发创新提供示范。</w:t>
      </w:r>
    </w:p>
    <w:p>
      <w:pPr>
        <w:spacing w:line="360" w:lineRule="auto"/>
        <w:rPr>
          <w:rFonts w:ascii="仿宋" w:hAnsi="仿宋" w:eastAsia="仿宋"/>
          <w:b/>
          <w:sz w:val="24"/>
        </w:rPr>
      </w:pPr>
      <w:r>
        <w:rPr>
          <w:rFonts w:hint="eastAsia" w:ascii="仿宋" w:hAnsi="仿宋" w:eastAsia="仿宋"/>
          <w:b/>
          <w:sz w:val="24"/>
        </w:rPr>
        <w:t>（二）电动客车多模耦合动力系统研发</w:t>
      </w:r>
    </w:p>
    <w:p>
      <w:pPr>
        <w:spacing w:line="360" w:lineRule="auto"/>
        <w:rPr>
          <w:rFonts w:ascii="仿宋" w:hAnsi="仿宋" w:eastAsia="仿宋"/>
          <w:sz w:val="24"/>
        </w:rPr>
      </w:pPr>
      <w:r>
        <w:rPr>
          <w:rFonts w:ascii="仿宋" w:hAnsi="仿宋" w:eastAsia="仿宋"/>
          <w:sz w:val="24"/>
        </w:rPr>
        <w:t xml:space="preserve">                               —— </w:t>
      </w:r>
      <w:r>
        <w:rPr>
          <w:rFonts w:hint="eastAsia" w:ascii="仿宋" w:hAnsi="仿宋" w:eastAsia="仿宋"/>
          <w:sz w:val="24"/>
        </w:rPr>
        <w:t>张庆永副教授</w:t>
      </w:r>
    </w:p>
    <w:p>
      <w:pPr>
        <w:spacing w:line="360" w:lineRule="auto"/>
        <w:ind w:firstLine="600" w:firstLineChars="250"/>
        <w:rPr>
          <w:rFonts w:ascii="仿宋" w:hAnsi="仿宋" w:eastAsia="仿宋"/>
          <w:sz w:val="24"/>
        </w:rPr>
      </w:pPr>
      <w:r>
        <w:rPr>
          <w:rFonts w:hint="eastAsia" w:ascii="仿宋" w:hAnsi="仿宋" w:eastAsia="仿宋"/>
          <w:sz w:val="24"/>
        </w:rPr>
        <w:t>项目主要围绕电动客车多模耦合动力系统开展新技术和新产品的研发。主要内容包含：（</w:t>
      </w:r>
      <w:r>
        <w:rPr>
          <w:rFonts w:ascii="仿宋" w:hAnsi="仿宋" w:eastAsia="仿宋"/>
          <w:sz w:val="24"/>
        </w:rPr>
        <w:t>1</w:t>
      </w:r>
      <w:r>
        <w:rPr>
          <w:rFonts w:hint="eastAsia" w:ascii="仿宋" w:hAnsi="仿宋" w:eastAsia="仿宋"/>
          <w:sz w:val="24"/>
        </w:rPr>
        <w:t>）电动客车多模耦合动力系统研发的设计及其控制策略的研究。（</w:t>
      </w:r>
      <w:r>
        <w:rPr>
          <w:rFonts w:ascii="仿宋" w:hAnsi="仿宋" w:eastAsia="仿宋"/>
          <w:sz w:val="24"/>
        </w:rPr>
        <w:t>2</w:t>
      </w:r>
      <w:r>
        <w:rPr>
          <w:rFonts w:hint="eastAsia" w:ascii="仿宋" w:hAnsi="仿宋" w:eastAsia="仿宋"/>
          <w:sz w:val="24"/>
        </w:rPr>
        <w:t>）电动客车多模耦合动力系统的顶层仿真设计平台的搭建。动力系统仿真平台可在样机制作前，提前模拟系统在车辆各种工况下的动力性和经济性效果，从而方便评估、分析和选型改进。（</w:t>
      </w:r>
      <w:r>
        <w:rPr>
          <w:rFonts w:ascii="仿宋" w:hAnsi="仿宋" w:eastAsia="仿宋"/>
          <w:sz w:val="24"/>
        </w:rPr>
        <w:t>3</w:t>
      </w:r>
      <w:r>
        <w:rPr>
          <w:rFonts w:hint="eastAsia" w:ascii="仿宋" w:hAnsi="仿宋" w:eastAsia="仿宋"/>
          <w:sz w:val="24"/>
        </w:rPr>
        <w:t>）电动客车多模耦合动力系统的试验平台的搭建。开发研究型室内模拟综合性能试验台，可完成动力系统的功能模拟、效率研究以及可靠性分析。</w:t>
      </w:r>
    </w:p>
    <w:p>
      <w:pPr>
        <w:spacing w:line="360" w:lineRule="auto"/>
        <w:rPr>
          <w:rFonts w:ascii="仿宋" w:hAnsi="仿宋" w:eastAsia="仿宋"/>
          <w:b/>
          <w:sz w:val="24"/>
        </w:rPr>
      </w:pPr>
      <w:r>
        <w:rPr>
          <w:rFonts w:hint="eastAsia" w:ascii="仿宋" w:hAnsi="仿宋" w:eastAsia="仿宋"/>
          <w:b/>
          <w:sz w:val="24"/>
        </w:rPr>
        <w:t>（三）氢能源质子膜电解制氢等关键技术与装备</w:t>
      </w:r>
    </w:p>
    <w:p>
      <w:pPr>
        <w:spacing w:line="360" w:lineRule="auto"/>
        <w:ind w:firstLine="3960" w:firstLineChars="1650"/>
        <w:rPr>
          <w:rFonts w:ascii="仿宋" w:hAnsi="仿宋" w:eastAsia="仿宋"/>
          <w:sz w:val="24"/>
        </w:rPr>
      </w:pPr>
      <w:r>
        <w:rPr>
          <w:rFonts w:ascii="仿宋" w:hAnsi="仿宋" w:eastAsia="仿宋"/>
          <w:sz w:val="24"/>
        </w:rPr>
        <w:t>——</w:t>
      </w:r>
      <w:r>
        <w:rPr>
          <w:rFonts w:hint="eastAsia" w:ascii="仿宋" w:hAnsi="仿宋" w:eastAsia="仿宋"/>
          <w:sz w:val="24"/>
        </w:rPr>
        <w:t>梁泉教授</w:t>
      </w:r>
    </w:p>
    <w:p>
      <w:pPr>
        <w:spacing w:line="360" w:lineRule="auto"/>
        <w:ind w:firstLine="600" w:firstLineChars="250"/>
        <w:rPr>
          <w:rFonts w:ascii="仿宋" w:hAnsi="仿宋" w:eastAsia="仿宋"/>
          <w:sz w:val="24"/>
        </w:rPr>
      </w:pPr>
      <w:r>
        <w:rPr>
          <w:rFonts w:hint="eastAsia" w:ascii="仿宋" w:hAnsi="仿宋" w:eastAsia="仿宋"/>
          <w:sz w:val="24"/>
        </w:rPr>
        <w:t>氢能源是国家重点支持的能源发展战略。项目在电解水制氢，氢燃料电池、氢能源动力系统等重点技术方向上进行研发，取得了可落地推广的系列成果：</w:t>
      </w:r>
    </w:p>
    <w:p>
      <w:pPr>
        <w:spacing w:line="360" w:lineRule="auto"/>
        <w:ind w:firstLine="600" w:firstLineChars="250"/>
        <w:rPr>
          <w:rFonts w:ascii="仿宋" w:hAnsi="仿宋" w:eastAsia="仿宋"/>
          <w:sz w:val="24"/>
        </w:rPr>
      </w:pPr>
      <w:r>
        <w:rPr>
          <w:rFonts w:ascii="仿宋" w:hAnsi="仿宋" w:eastAsia="仿宋"/>
          <w:sz w:val="24"/>
        </w:rPr>
        <w:t>1.</w:t>
      </w:r>
      <w:r>
        <w:rPr>
          <w:rFonts w:hint="eastAsia" w:ascii="仿宋" w:hAnsi="仿宋" w:eastAsia="仿宋"/>
          <w:sz w:val="24"/>
        </w:rPr>
        <w:t>基于质子膜电解制氢的关键技术与装备。利用质子交换膜电解技术实现制氢，产生氢气纯度高，避免强碱性液体电解所伴生的缺点，实现制氢装备小型化。</w:t>
      </w:r>
    </w:p>
    <w:p>
      <w:pPr>
        <w:spacing w:line="360" w:lineRule="auto"/>
        <w:ind w:firstLine="600" w:firstLineChars="250"/>
        <w:rPr>
          <w:rFonts w:ascii="仿宋" w:hAnsi="仿宋" w:eastAsia="仿宋"/>
          <w:sz w:val="24"/>
        </w:rPr>
      </w:pPr>
      <w:r>
        <w:rPr>
          <w:rFonts w:ascii="仿宋" w:hAnsi="仿宋" w:eastAsia="仿宋"/>
          <w:sz w:val="24"/>
        </w:rPr>
        <w:t>2.</w:t>
      </w:r>
      <w:r>
        <w:rPr>
          <w:rFonts w:hint="eastAsia" w:ascii="仿宋" w:hAnsi="仿宋" w:eastAsia="仿宋"/>
          <w:sz w:val="24"/>
        </w:rPr>
        <w:t>电控混合动力无级变速箱系统。电能和氢能源混合动力，该无级变速箱系统具有高效、经济、环保、低故障率等优势。</w:t>
      </w:r>
    </w:p>
    <w:p>
      <w:pPr>
        <w:spacing w:line="360" w:lineRule="auto"/>
        <w:ind w:firstLine="600" w:firstLineChars="250"/>
        <w:rPr>
          <w:rFonts w:ascii="仿宋" w:hAnsi="仿宋" w:eastAsia="仿宋"/>
          <w:sz w:val="24"/>
        </w:rPr>
      </w:pPr>
      <w:r>
        <w:rPr>
          <w:rFonts w:ascii="仿宋" w:hAnsi="仿宋" w:eastAsia="仿宋"/>
          <w:sz w:val="24"/>
        </w:rPr>
        <w:t>3.</w:t>
      </w:r>
      <w:r>
        <w:rPr>
          <w:rFonts w:hint="eastAsia" w:ascii="仿宋" w:hAnsi="仿宋" w:eastAsia="仿宋"/>
          <w:sz w:val="24"/>
        </w:rPr>
        <w:t>氢燃料船舶无轴环形电泵推进器系统。布置简易、超静音、节能高效、易维护等特点。</w:t>
      </w:r>
    </w:p>
    <w:p>
      <w:pPr>
        <w:spacing w:line="360" w:lineRule="auto"/>
        <w:rPr>
          <w:rFonts w:ascii="仿宋" w:hAnsi="仿宋" w:eastAsia="仿宋"/>
          <w:b/>
          <w:sz w:val="24"/>
        </w:rPr>
      </w:pPr>
      <w:r>
        <w:rPr>
          <w:rFonts w:hint="eastAsia" w:ascii="仿宋" w:hAnsi="仿宋" w:eastAsia="仿宋"/>
          <w:b/>
          <w:sz w:val="24"/>
        </w:rPr>
        <w:t>（四）高空强磁爬壁清洁机器人</w:t>
      </w:r>
    </w:p>
    <w:p>
      <w:pPr>
        <w:spacing w:line="360" w:lineRule="auto"/>
        <w:ind w:firstLine="4560" w:firstLineChars="1900"/>
        <w:rPr>
          <w:rFonts w:ascii="仿宋" w:hAnsi="仿宋" w:eastAsia="仿宋"/>
          <w:sz w:val="24"/>
        </w:rPr>
      </w:pPr>
      <w:r>
        <w:rPr>
          <w:rFonts w:ascii="仿宋" w:hAnsi="仿宋" w:eastAsia="仿宋"/>
          <w:sz w:val="24"/>
        </w:rPr>
        <w:t>——</w:t>
      </w:r>
      <w:r>
        <w:rPr>
          <w:rFonts w:hint="eastAsia" w:ascii="仿宋" w:hAnsi="仿宋" w:eastAsia="仿宋"/>
          <w:sz w:val="24"/>
        </w:rPr>
        <w:t>陈鲤文副教授</w:t>
      </w:r>
    </w:p>
    <w:p>
      <w:pPr>
        <w:spacing w:line="360" w:lineRule="auto"/>
        <w:ind w:firstLine="600" w:firstLineChars="250"/>
        <w:rPr>
          <w:rFonts w:ascii="仿宋" w:hAnsi="仿宋" w:eastAsia="仿宋"/>
          <w:sz w:val="24"/>
        </w:rPr>
      </w:pPr>
      <w:r>
        <w:rPr>
          <w:rFonts w:hint="eastAsia" w:ascii="仿宋" w:hAnsi="仿宋" w:eastAsia="仿宋"/>
          <w:sz w:val="24"/>
        </w:rPr>
        <w:t>项目采用磁吸附式，履带式攀爬在金属壁上，具有自动清扫、吸尘、实时监视、定位和远程无线控制功能。爬壁机器人还带有可配置方式，可附加吸尘器、前后左右四驱灵活转向避障寻迹，实时刷新，室内外连续定位、后台现场视频监视大屏。本装置已经应用于福清核电厂核清洁工作，替代常规岛搭设脚手架</w:t>
      </w:r>
      <w:r>
        <w:rPr>
          <w:rFonts w:ascii="仿宋" w:hAnsi="仿宋" w:eastAsia="仿宋"/>
          <w:sz w:val="24"/>
        </w:rPr>
        <w:t>+</w:t>
      </w:r>
      <w:r>
        <w:rPr>
          <w:rFonts w:hint="eastAsia" w:ascii="仿宋" w:hAnsi="仿宋" w:eastAsia="仿宋"/>
          <w:sz w:val="24"/>
        </w:rPr>
        <w:t>人工清洁的方式，仅需考虑机器人坠落风险，完全避开工业安全风险，实现缩减核清洁工期、优化主线工期，降低管理成本，获得业主的好评。本产品本技术已申请了发明专利</w:t>
      </w:r>
      <w:r>
        <w:rPr>
          <w:rFonts w:ascii="仿宋" w:hAnsi="仿宋" w:eastAsia="仿宋"/>
          <w:sz w:val="24"/>
        </w:rPr>
        <w:t>1</w:t>
      </w:r>
      <w:r>
        <w:rPr>
          <w:rFonts w:hint="eastAsia" w:ascii="仿宋" w:hAnsi="仿宋" w:eastAsia="仿宋"/>
          <w:sz w:val="24"/>
        </w:rPr>
        <w:t>项，实用新型专利</w:t>
      </w:r>
      <w:r>
        <w:rPr>
          <w:rFonts w:ascii="仿宋" w:hAnsi="仿宋" w:eastAsia="仿宋"/>
          <w:sz w:val="24"/>
        </w:rPr>
        <w:t>4</w:t>
      </w:r>
      <w:r>
        <w:rPr>
          <w:rFonts w:hint="eastAsia" w:ascii="仿宋" w:hAnsi="仿宋" w:eastAsia="仿宋"/>
          <w:sz w:val="24"/>
        </w:rPr>
        <w:t>项，技术较为成熟，项目组正积极在工业其他领域，如风电塔筒运维、船舶侧壁除锈、飞机机翼检测、管道无损探伤等领域赋能服务。产品获得工业和信息化部、福建省人民政府、厦门市人民政府主办第二届促进金砖工业创新合作大赛优秀成果奖。</w:t>
      </w:r>
    </w:p>
    <w:p>
      <w:pPr>
        <w:spacing w:line="360" w:lineRule="auto"/>
        <w:rPr>
          <w:rFonts w:ascii="仿宋" w:hAnsi="仿宋" w:eastAsia="仿宋"/>
          <w:b/>
          <w:sz w:val="24"/>
        </w:rPr>
      </w:pPr>
      <w:r>
        <w:rPr>
          <w:rFonts w:hint="eastAsia" w:ascii="仿宋" w:hAnsi="仿宋" w:eastAsia="仿宋"/>
          <w:b/>
          <w:sz w:val="24"/>
        </w:rPr>
        <w:t>（五）智能制造产业学院及其相关技术成果</w:t>
      </w:r>
    </w:p>
    <w:p>
      <w:pPr>
        <w:spacing w:line="360" w:lineRule="auto"/>
        <w:ind w:firstLine="600" w:firstLineChars="250"/>
        <w:rPr>
          <w:rFonts w:ascii="仿宋" w:hAnsi="仿宋" w:eastAsia="仿宋"/>
          <w:sz w:val="24"/>
        </w:rPr>
      </w:pPr>
      <w:r>
        <w:rPr>
          <w:rFonts w:ascii="仿宋" w:hAnsi="仿宋" w:eastAsia="仿宋"/>
          <w:sz w:val="24"/>
        </w:rPr>
        <w:t xml:space="preserve">                             ——</w:t>
      </w:r>
      <w:r>
        <w:rPr>
          <w:rFonts w:hint="eastAsia" w:ascii="仿宋" w:hAnsi="仿宋" w:eastAsia="仿宋"/>
          <w:sz w:val="24"/>
        </w:rPr>
        <w:t>黄旭</w:t>
      </w:r>
    </w:p>
    <w:p>
      <w:pPr>
        <w:spacing w:line="360" w:lineRule="auto"/>
        <w:ind w:firstLine="600" w:firstLineChars="250"/>
        <w:rPr>
          <w:rFonts w:ascii="仿宋" w:hAnsi="仿宋" w:eastAsia="仿宋"/>
          <w:sz w:val="24"/>
        </w:rPr>
      </w:pPr>
      <w:r>
        <w:rPr>
          <w:rFonts w:hint="eastAsia" w:ascii="仿宋" w:hAnsi="仿宋" w:eastAsia="仿宋"/>
          <w:sz w:val="24"/>
        </w:rPr>
        <w:t>项目针对稀土中碳微合金化特种耐磨钢的开发和产业化应用，开展以下研究工作：①稀土低合金耐磨钢材料配方设计；②耐磨钢微合金化处理的组织与性能调控方法研究；③新型耐磨钢优质铸件铸造及热处理工艺研究。性能达标后上机试用，在实际工况中考察其服役性能，优化配方、铸造工艺及热处理方法，最终实现新型耐磨钢的产业化。项目获福州市科技重大项目</w:t>
      </w:r>
      <w:r>
        <w:rPr>
          <w:rFonts w:ascii="仿宋" w:hAnsi="仿宋" w:eastAsia="仿宋"/>
          <w:sz w:val="24"/>
        </w:rPr>
        <w:t>50</w:t>
      </w:r>
      <w:r>
        <w:rPr>
          <w:rFonts w:hint="eastAsia" w:ascii="仿宋" w:hAnsi="仿宋" w:eastAsia="仿宋"/>
          <w:sz w:val="24"/>
        </w:rPr>
        <w:t>万元资助。</w:t>
      </w:r>
    </w:p>
    <w:p>
      <w:pPr>
        <w:spacing w:line="360" w:lineRule="auto"/>
        <w:ind w:firstLine="600" w:firstLineChars="250"/>
        <w:rPr>
          <w:rFonts w:ascii="仿宋" w:hAnsi="仿宋" w:eastAsia="仿宋"/>
          <w:sz w:val="24"/>
        </w:rPr>
      </w:pPr>
      <w:r>
        <w:rPr>
          <w:rFonts w:hint="eastAsia" w:ascii="仿宋" w:hAnsi="仿宋" w:eastAsia="仿宋"/>
          <w:sz w:val="24"/>
        </w:rPr>
        <w:t>基于半物理仿真技术的安全教育虚拟仿真平台</w:t>
      </w:r>
    </w:p>
    <w:p>
      <w:pPr>
        <w:spacing w:line="360" w:lineRule="auto"/>
        <w:ind w:firstLine="600" w:firstLineChars="250"/>
        <w:rPr>
          <w:rFonts w:ascii="仿宋" w:hAnsi="仿宋" w:eastAsia="仿宋"/>
          <w:sz w:val="24"/>
        </w:rPr>
      </w:pPr>
      <w:r>
        <w:rPr>
          <w:rFonts w:hint="eastAsia" w:ascii="仿宋" w:hAnsi="仿宋" w:eastAsia="仿宋"/>
          <w:sz w:val="24"/>
        </w:rPr>
        <w:t>项目利用半物理仿真技术，搭建硬件平台并开发配套控制和仿真软件，实现各种行业安全教育的模拟，主要研发内容包括模拟地铁车厢结构设计与开发、</w:t>
      </w:r>
      <w:r>
        <w:rPr>
          <w:rFonts w:ascii="仿宋" w:hAnsi="仿宋" w:eastAsia="仿宋"/>
          <w:sz w:val="24"/>
        </w:rPr>
        <w:t xml:space="preserve"> </w:t>
      </w:r>
      <w:r>
        <w:rPr>
          <w:rFonts w:hint="eastAsia" w:ascii="仿宋" w:hAnsi="仿宋" w:eastAsia="仿宋"/>
          <w:sz w:val="24"/>
        </w:rPr>
        <w:t>安全带碰撞系统轨道滑动结构设计与开发、地震模拟运动平台结构开发、动感模拟驾驶装置运动平台结构开发、模拟翻车运动平台结构开发等。项目获得企业</w:t>
      </w:r>
      <w:r>
        <w:rPr>
          <w:rFonts w:ascii="仿宋" w:hAnsi="仿宋" w:eastAsia="仿宋"/>
          <w:sz w:val="24"/>
        </w:rPr>
        <w:t>220</w:t>
      </w:r>
      <w:r>
        <w:rPr>
          <w:rFonts w:hint="eastAsia" w:ascii="仿宋" w:hAnsi="仿宋" w:eastAsia="仿宋"/>
          <w:sz w:val="24"/>
        </w:rPr>
        <w:t>万元经费资助。</w:t>
      </w:r>
    </w:p>
    <w:p>
      <w:pPr>
        <w:spacing w:line="360" w:lineRule="auto"/>
        <w:ind w:firstLine="600" w:firstLineChars="250"/>
        <w:rPr>
          <w:rFonts w:ascii="仿宋" w:hAnsi="仿宋" w:eastAsia="仿宋"/>
          <w:sz w:val="24"/>
        </w:rPr>
      </w:pPr>
      <w:r>
        <w:rPr>
          <w:rFonts w:hint="eastAsia" w:ascii="仿宋" w:hAnsi="仿宋" w:eastAsia="仿宋"/>
          <w:sz w:val="24"/>
        </w:rPr>
        <w:t>高强度纤维增强热塑性复合材料的快速成型装备及工艺</w:t>
      </w:r>
    </w:p>
    <w:p>
      <w:pPr>
        <w:spacing w:line="360" w:lineRule="auto"/>
        <w:ind w:firstLine="600" w:firstLineChars="250"/>
        <w:rPr>
          <w:rFonts w:ascii="仿宋" w:hAnsi="仿宋" w:eastAsia="仿宋"/>
          <w:sz w:val="24"/>
        </w:rPr>
      </w:pPr>
      <w:r>
        <w:rPr>
          <w:rFonts w:hint="eastAsia" w:ascii="仿宋" w:hAnsi="仿宋" w:eastAsia="仿宋"/>
          <w:sz w:val="24"/>
        </w:rPr>
        <w:t>项目针对热塑性树脂基复合材料，利用远红外加热熔融工艺与纤维铺丝技术集成，发展新型复合材料增材制造方法。项目研制远红外加热熔融打印头，开发打印路径规划软件，开发复合材料增材制造设备，获得企业资助经费</w:t>
      </w:r>
      <w:r>
        <w:rPr>
          <w:rFonts w:ascii="仿宋" w:hAnsi="仿宋" w:eastAsia="仿宋"/>
          <w:sz w:val="24"/>
        </w:rPr>
        <w:t>30</w:t>
      </w:r>
      <w:r>
        <w:rPr>
          <w:rFonts w:hint="eastAsia" w:ascii="仿宋" w:hAnsi="仿宋" w:eastAsia="仿宋"/>
          <w:sz w:val="24"/>
        </w:rPr>
        <w:t>万元。</w:t>
      </w:r>
    </w:p>
    <w:p>
      <w:pPr>
        <w:spacing w:line="360" w:lineRule="auto"/>
        <w:rPr>
          <w:rFonts w:ascii="仿宋" w:hAnsi="仿宋" w:eastAsia="仿宋"/>
          <w:b/>
          <w:sz w:val="24"/>
        </w:rPr>
      </w:pPr>
      <w:r>
        <w:rPr>
          <w:rFonts w:hint="eastAsia" w:ascii="仿宋" w:hAnsi="仿宋" w:eastAsia="仿宋"/>
          <w:b/>
          <w:sz w:val="24"/>
        </w:rPr>
        <w:t>（六）基于机器视觉智能绑扎机器人研发</w:t>
      </w:r>
    </w:p>
    <w:p>
      <w:pPr>
        <w:spacing w:line="360" w:lineRule="auto"/>
        <w:ind w:firstLine="4680" w:firstLineChars="1950"/>
        <w:rPr>
          <w:rFonts w:ascii="仿宋" w:hAnsi="仿宋" w:eastAsia="仿宋"/>
          <w:sz w:val="24"/>
        </w:rPr>
      </w:pPr>
      <w:r>
        <w:rPr>
          <w:rFonts w:ascii="仿宋" w:hAnsi="仿宋" w:eastAsia="仿宋"/>
          <w:sz w:val="24"/>
        </w:rPr>
        <w:t>——</w:t>
      </w:r>
      <w:r>
        <w:rPr>
          <w:rFonts w:hint="eastAsia" w:ascii="仿宋" w:hAnsi="仿宋" w:eastAsia="仿宋"/>
          <w:sz w:val="24"/>
        </w:rPr>
        <w:t>李占福副教授</w:t>
      </w:r>
    </w:p>
    <w:p>
      <w:pPr>
        <w:spacing w:line="360" w:lineRule="auto"/>
        <w:ind w:firstLine="600" w:firstLineChars="250"/>
        <w:rPr>
          <w:rFonts w:hint="eastAsia" w:ascii="仿宋" w:hAnsi="仿宋" w:eastAsia="仿宋"/>
          <w:sz w:val="24"/>
        </w:rPr>
      </w:pPr>
      <w:r>
        <w:rPr>
          <w:rFonts w:hint="eastAsia" w:ascii="仿宋" w:hAnsi="仿宋" w:eastAsia="仿宋"/>
          <w:sz w:val="24"/>
        </w:rPr>
        <w:t>建筑装备智能化及智慧建造的需求，钢筋绑扎工作由人工来进行，是施工过程中最为单调及繁重的工种之一｡智能绑扎机器人将有利于缓解人口老龄化带来招工难压力，推动建筑业的技术进步和行业的转型升级，具备一定市场前景。以智能绑扎机器人代替人工为目的，机器人识别绑扎位置技术，控制调整机器人的姿态，完成绑扎执行机构的结构设计，研制一套具备视觉识别，自动绑扎钢筋，自适应调整姿态的智能绑扎机器人。</w:t>
      </w:r>
    </w:p>
    <w:p>
      <w:pPr>
        <w:spacing w:line="360" w:lineRule="auto"/>
        <w:rPr>
          <w:rFonts w:hint="eastAsia" w:ascii="仿宋" w:hAnsi="仿宋" w:eastAsia="仿宋"/>
          <w:b/>
          <w:sz w:val="24"/>
        </w:rPr>
      </w:pPr>
      <w:r>
        <w:rPr>
          <w:rFonts w:hint="eastAsia" w:ascii="仿宋" w:hAnsi="仿宋" w:eastAsia="仿宋"/>
          <w:b/>
          <w:sz w:val="24"/>
          <w:lang w:eastAsia="zh-CN"/>
        </w:rPr>
        <w:t>四、</w:t>
      </w:r>
      <w:r>
        <w:rPr>
          <w:rFonts w:hint="eastAsia" w:ascii="仿宋" w:hAnsi="仿宋" w:eastAsia="仿宋"/>
          <w:b/>
          <w:sz w:val="24"/>
        </w:rPr>
        <w:t>中科院</w:t>
      </w:r>
      <w:r>
        <w:rPr>
          <w:rFonts w:hint="eastAsia" w:ascii="仿宋" w:hAnsi="仿宋" w:eastAsia="仿宋"/>
          <w:b/>
          <w:sz w:val="24"/>
          <w:lang w:eastAsia="zh-CN"/>
        </w:rPr>
        <w:t>海西研究院（</w:t>
      </w:r>
      <w:r>
        <w:rPr>
          <w:rFonts w:hint="eastAsia" w:ascii="仿宋" w:hAnsi="仿宋" w:eastAsia="仿宋"/>
          <w:b/>
          <w:sz w:val="24"/>
        </w:rPr>
        <w:t>福建物构所</w:t>
      </w:r>
      <w:r>
        <w:rPr>
          <w:rFonts w:hint="eastAsia" w:ascii="仿宋" w:hAnsi="仿宋" w:eastAsia="仿宋"/>
          <w:b/>
          <w:sz w:val="24"/>
          <w:lang w:eastAsia="zh-CN"/>
        </w:rPr>
        <w:t>）</w:t>
      </w:r>
    </w:p>
    <w:p>
      <w:pPr>
        <w:spacing w:line="360" w:lineRule="auto"/>
        <w:ind w:firstLine="752" w:firstLineChars="250"/>
        <w:rPr>
          <w:rFonts w:hint="eastAsia" w:ascii="仿宋" w:hAnsi="仿宋" w:eastAsia="仿宋"/>
          <w:sz w:val="24"/>
        </w:rPr>
      </w:pPr>
      <w:r>
        <w:rPr>
          <w:rFonts w:hint="eastAsia" w:hAnsi="华文中宋"/>
          <w:b/>
          <w:color w:val="171A1D"/>
          <w:sz w:val="30"/>
          <w:szCs w:val="30"/>
          <w:shd w:val="clear" w:color="auto" w:fill="FFFFFF"/>
          <w:lang w:val="en-US" w:eastAsia="zh-CN"/>
        </w:rPr>
        <w:t xml:space="preserve">  </w:t>
      </w:r>
      <w:r>
        <w:rPr>
          <w:rFonts w:hint="eastAsia" w:ascii="仿宋" w:hAnsi="仿宋" w:eastAsia="仿宋"/>
          <w:sz w:val="24"/>
          <w:lang w:val="en-US" w:eastAsia="zh-CN"/>
        </w:rPr>
        <w:t xml:space="preserve"> </w:t>
      </w:r>
      <w:r>
        <w:rPr>
          <w:rFonts w:hint="eastAsia" w:ascii="仿宋" w:hAnsi="仿宋" w:eastAsia="仿宋"/>
          <w:sz w:val="24"/>
        </w:rPr>
        <w:t>CO酯化制甲酸甲酯及甲酸绿色低碳技术产业化</w:t>
      </w:r>
    </w:p>
    <w:p>
      <w:pPr>
        <w:spacing w:line="360" w:lineRule="auto"/>
        <w:ind w:firstLine="600" w:firstLineChars="250"/>
        <w:rPr>
          <w:rFonts w:hint="eastAsia" w:ascii="仿宋" w:hAnsi="仿宋" w:eastAsia="仿宋"/>
          <w:sz w:val="24"/>
          <w:lang w:eastAsia="zh-CN"/>
        </w:rPr>
      </w:pPr>
      <w:r>
        <w:rPr>
          <w:rFonts w:hint="eastAsia" w:ascii="仿宋" w:hAnsi="仿宋" w:eastAsia="仿宋"/>
          <w:sz w:val="24"/>
          <w:lang w:val="en-US" w:eastAsia="zh-CN"/>
        </w:rPr>
        <w:t xml:space="preserve">                   </w:t>
      </w:r>
      <w:r>
        <w:rPr>
          <w:rFonts w:hint="eastAsia" w:ascii="仿宋" w:hAnsi="仿宋" w:eastAsia="仿宋"/>
          <w:sz w:val="24"/>
          <w:lang w:eastAsia="zh-CN"/>
        </w:rPr>
        <w:t>——郭国聪研究员</w:t>
      </w:r>
    </w:p>
    <w:p>
      <w:pPr>
        <w:spacing w:line="360" w:lineRule="auto"/>
        <w:ind w:firstLine="600" w:firstLineChars="250"/>
        <w:rPr>
          <w:rFonts w:hint="eastAsia" w:ascii="仿宋" w:hAnsi="仿宋" w:eastAsia="仿宋"/>
          <w:sz w:val="24"/>
        </w:rPr>
      </w:pPr>
      <w:r>
        <w:rPr>
          <w:rFonts w:hint="eastAsia" w:ascii="仿宋" w:hAnsi="仿宋" w:eastAsia="仿宋"/>
          <w:sz w:val="24"/>
          <w:lang w:val="en-US" w:eastAsia="zh-CN"/>
        </w:rPr>
        <w:t xml:space="preserve">                </w:t>
      </w:r>
      <w:r>
        <w:rPr>
          <w:rFonts w:hint="eastAsia" w:ascii="仿宋" w:hAnsi="仿宋" w:eastAsia="仿宋"/>
          <w:sz w:val="24"/>
        </w:rPr>
        <w:t>结构化学国家重点实验室</w:t>
      </w:r>
    </w:p>
    <w:p>
      <w:pPr>
        <w:spacing w:line="360" w:lineRule="auto"/>
        <w:ind w:firstLine="600" w:firstLineChars="250"/>
        <w:rPr>
          <w:rFonts w:hint="eastAsia" w:ascii="仿宋" w:hAnsi="仿宋" w:eastAsia="仿宋"/>
          <w:sz w:val="24"/>
        </w:rPr>
      </w:pPr>
      <w:r>
        <w:rPr>
          <w:rFonts w:hint="eastAsia" w:ascii="仿宋" w:hAnsi="仿宋" w:eastAsia="仿宋"/>
          <w:sz w:val="24"/>
        </w:rPr>
        <w:t>液相甲醇羰基化法是目前工业主流的甲酸甲酯生产技术，自1982年至今已经用了40年，该技术被德国BASF公司垄断。中科院福建物质结构研究所郭国聪和徐忠宁团队通过反应过程、催化技术及工艺流程创新，开发了CO酯化制甲酸甲酯绿色低碳技术（CTMF技术），克服了BASF技术采用均相甲醇钠催化剂对原料纯度要求高、设备腐蚀、反应高压、生产不连续等问题，而且原料来源广泛（煤气化、工业富含CO尾气等），具备如下重大创新：</w:t>
      </w:r>
    </w:p>
    <w:p>
      <w:pPr>
        <w:spacing w:line="360" w:lineRule="auto"/>
        <w:ind w:firstLine="600" w:firstLineChars="250"/>
        <w:rPr>
          <w:rFonts w:hint="eastAsia" w:ascii="仿宋" w:hAnsi="仿宋" w:eastAsia="仿宋"/>
          <w:sz w:val="24"/>
        </w:rPr>
      </w:pPr>
      <w:r>
        <w:rPr>
          <w:rFonts w:hint="eastAsia" w:ascii="仿宋" w:hAnsi="仿宋" w:eastAsia="仿宋"/>
          <w:sz w:val="24"/>
        </w:rPr>
        <w:t>1）CTMF技术属于气相催化反应，反应过程简单；</w:t>
      </w:r>
    </w:p>
    <w:p>
      <w:pPr>
        <w:spacing w:line="360" w:lineRule="auto"/>
        <w:ind w:firstLine="600" w:firstLineChars="250"/>
        <w:rPr>
          <w:rFonts w:hint="eastAsia" w:ascii="仿宋" w:hAnsi="仿宋" w:eastAsia="仿宋"/>
          <w:sz w:val="24"/>
        </w:rPr>
      </w:pPr>
      <w:r>
        <w:rPr>
          <w:rFonts w:hint="eastAsia" w:ascii="仿宋" w:hAnsi="仿宋" w:eastAsia="仿宋"/>
          <w:sz w:val="24"/>
        </w:rPr>
        <w:t>2）开发了高性能、长寿命的负载型金属纳米催化剂，对原料纯度要求低，对设备无腐蚀性，反应条件温和（压力为低压：0.2~0.5MPa，温度范围：100-150℃）；</w:t>
      </w:r>
    </w:p>
    <w:p>
      <w:pPr>
        <w:spacing w:line="360" w:lineRule="auto"/>
        <w:ind w:firstLine="600" w:firstLineChars="250"/>
        <w:rPr>
          <w:rFonts w:hint="eastAsia" w:ascii="仿宋" w:hAnsi="仿宋" w:eastAsia="仿宋"/>
          <w:sz w:val="24"/>
          <w:lang w:val="en-US" w:eastAsia="zh-CN"/>
        </w:rPr>
      </w:pPr>
      <w:r>
        <w:rPr>
          <w:rFonts w:hint="eastAsia" w:ascii="仿宋" w:hAnsi="仿宋" w:eastAsia="仿宋"/>
          <w:sz w:val="24"/>
        </w:rPr>
        <w:t>3）采用列管式固定床作为反应器，不存在催化剂与产物分离问题，生产过程具有连续性，生产规模可达到年产10-20万吨；</w:t>
      </w:r>
      <w:r>
        <w:rPr>
          <w:rFonts w:hint="eastAsia" w:ascii="仿宋" w:hAnsi="仿宋" w:eastAsia="仿宋"/>
          <w:sz w:val="24"/>
          <w:lang w:val="en-US" w:eastAsia="zh-CN"/>
        </w:rPr>
        <w:t xml:space="preserve">   </w:t>
      </w:r>
    </w:p>
    <w:p>
      <w:pPr>
        <w:spacing w:line="360" w:lineRule="auto"/>
        <w:rPr>
          <w:rFonts w:hint="eastAsia" w:ascii="仿宋" w:hAnsi="仿宋" w:eastAsia="仿宋"/>
          <w:sz w:val="24"/>
        </w:rPr>
      </w:pPr>
      <w:r>
        <w:rPr>
          <w:rFonts w:hint="eastAsia" w:ascii="仿宋" w:hAnsi="仿宋" w:eastAsia="仿宋"/>
          <w:sz w:val="24"/>
          <w:lang w:val="en-US" w:eastAsia="zh-CN"/>
        </w:rPr>
        <w:t xml:space="preserve">     </w:t>
      </w:r>
      <w:r>
        <w:rPr>
          <w:rFonts w:hint="eastAsia" w:ascii="仿宋" w:hAnsi="仿宋" w:eastAsia="仿宋"/>
          <w:sz w:val="24"/>
        </w:rPr>
        <w:t>4）生产成本比BASF技术低20%。</w:t>
      </w:r>
    </w:p>
    <w:p>
      <w:pPr>
        <w:spacing w:line="360" w:lineRule="auto"/>
        <w:ind w:firstLine="600" w:firstLineChars="250"/>
        <w:rPr>
          <w:rFonts w:hint="eastAsia" w:ascii="仿宋" w:hAnsi="仿宋" w:eastAsia="仿宋"/>
          <w:sz w:val="24"/>
        </w:rPr>
      </w:pPr>
      <w:r>
        <w:rPr>
          <w:rFonts w:hint="eastAsia" w:ascii="仿宋" w:hAnsi="仿宋" w:eastAsia="仿宋"/>
          <w:sz w:val="24"/>
        </w:rPr>
        <w:t>CTMF技术已完成全流程工艺1000小时单管中试，通过了中国化工学会组织的科技成果评价，被评价委员会认定为是“达到国际领先水平”的“原创”技术。CO酯化制甲酸甲酯单管中试技术获得了2020年度中国化工学会基础研究成果二等奖。中科院福建物质结构研究所与中石化广州（洛阳）工程有限公司合作，已完成10万吨级甲酸甲酯成套生产技术开发，具备推广落地条件。另外，甲酸甲酯水解是目前工业主流的甲酸生产技术，根据业主需求，CTMF技术可进一步延伸到甲酸产品。</w:t>
      </w:r>
    </w:p>
    <w:p>
      <w:pPr>
        <w:pStyle w:val="2"/>
        <w:rPr>
          <w:rFonts w:hint="eastAsia"/>
        </w:rPr>
      </w:pPr>
    </w:p>
    <w:p>
      <w:pPr>
        <w:spacing w:line="360" w:lineRule="auto"/>
        <w:ind w:firstLine="600" w:firstLineChars="250"/>
        <w:rPr>
          <w:rFonts w:hint="eastAsia" w:ascii="仿宋" w:hAnsi="仿宋" w:eastAsia="仿宋"/>
          <w:sz w:val="24"/>
        </w:rPr>
      </w:pPr>
    </w:p>
    <w:p>
      <w:pPr>
        <w:spacing w:line="360" w:lineRule="auto"/>
        <w:ind w:firstLine="600" w:firstLineChars="250"/>
        <w:rPr>
          <w:rFonts w:ascii="仿宋" w:hAnsi="仿宋" w:eastAsia="仿宋"/>
          <w:sz w:val="24"/>
        </w:rPr>
      </w:pPr>
    </w:p>
    <w:p>
      <w:pPr>
        <w:rPr>
          <w:rFonts w:hint="eastAsia" w:ascii="黑体" w:hAnsi="黑体" w:eastAsia="黑体"/>
          <w:b/>
          <w:sz w:val="32"/>
          <w:szCs w:val="32"/>
        </w:rPr>
      </w:pPr>
    </w:p>
    <w:p>
      <w:pPr>
        <w:rPr>
          <w:rFonts w:hint="eastAsia" w:ascii="黑体" w:hAnsi="黑体" w:eastAsia="黑体"/>
          <w:b/>
          <w:sz w:val="32"/>
          <w:szCs w:val="32"/>
        </w:rPr>
      </w:pPr>
    </w:p>
    <w:p>
      <w:pPr>
        <w:rPr>
          <w:rFonts w:ascii="华文中宋" w:hAnsi="华文中宋" w:eastAsia="华文中宋"/>
          <w:sz w:val="44"/>
          <w:szCs w:val="44"/>
        </w:rPr>
      </w:pPr>
    </w:p>
    <w:sectPr>
      <w:footerReference r:id="rId3" w:type="default"/>
      <w:pgSz w:w="11906" w:h="16838"/>
      <w:pgMar w:top="1440" w:right="1803" w:bottom="1440" w:left="1803" w:header="851" w:footer="992" w:gutter="0"/>
      <w:cols w:space="0" w:num="1"/>
      <w:rtlGutter w:val="0"/>
      <w:docGrid w:type="lines" w:linePitch="43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fldChar w:fldCharType="begin"/>
    </w:r>
    <w:r>
      <w:instrText xml:space="preserve"> PAGE   \* MERGEFORMAT </w:instrText>
    </w:r>
    <w:r>
      <w:fldChar w:fldCharType="separate"/>
    </w:r>
    <w:r>
      <w:rPr>
        <w:lang w:val="zh-CN"/>
      </w:rPr>
      <w:t>2</w:t>
    </w:r>
    <w:r>
      <w:rPr>
        <w:lang w:val="zh-CN"/>
      </w:rPr>
      <w:fldChar w:fldCharType="end"/>
    </w:r>
  </w:p>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57383B"/>
    <w:multiLevelType w:val="singleLevel"/>
    <w:tmpl w:val="D857383B"/>
    <w:lvl w:ilvl="0" w:tentative="0">
      <w:start w:val="1"/>
      <w:numFmt w:val="decimal"/>
      <w:suff w:val="nothing"/>
      <w:lvlText w:val="（%1）"/>
      <w:lvlJc w:val="left"/>
      <w:rPr>
        <w:rFonts w:cs="Times New Roman"/>
      </w:rPr>
    </w:lvl>
  </w:abstractNum>
  <w:abstractNum w:abstractNumId="1">
    <w:nsid w:val="DC0ADA48"/>
    <w:multiLevelType w:val="singleLevel"/>
    <w:tmpl w:val="DC0ADA48"/>
    <w:lvl w:ilvl="0" w:tentative="0">
      <w:start w:val="1"/>
      <w:numFmt w:val="decimal"/>
      <w:suff w:val="nothing"/>
      <w:lvlText w:val="（%1）"/>
      <w:lvlJc w:val="left"/>
      <w:rPr>
        <w:rFonts w:cs="Times New Roman"/>
      </w:rPr>
    </w:lvl>
  </w:abstractNum>
  <w:abstractNum w:abstractNumId="2">
    <w:nsid w:val="FB058C8F"/>
    <w:multiLevelType w:val="singleLevel"/>
    <w:tmpl w:val="FB058C8F"/>
    <w:lvl w:ilvl="0" w:tentative="0">
      <w:start w:val="1"/>
      <w:numFmt w:val="upperLetter"/>
      <w:suff w:val="space"/>
      <w:lvlText w:val="%1."/>
      <w:lvlJc w:val="left"/>
      <w:rPr>
        <w:rFonts w:cs="Times New Roman"/>
      </w:rPr>
    </w:lvl>
  </w:abstractNum>
  <w:abstractNum w:abstractNumId="3">
    <w:nsid w:val="12337172"/>
    <w:multiLevelType w:val="multilevel"/>
    <w:tmpl w:val="12337172"/>
    <w:lvl w:ilvl="0" w:tentative="0">
      <w:start w:val="1"/>
      <w:numFmt w:val="decimal"/>
      <w:lvlText w:val="%1."/>
      <w:lvlJc w:val="left"/>
      <w:pPr>
        <w:tabs>
          <w:tab w:val="left" w:pos="312"/>
        </w:tabs>
      </w:pPr>
      <w:rPr>
        <w:rFonts w:cs="Times New Roman"/>
      </w:rPr>
    </w:lvl>
    <w:lvl w:ilvl="1" w:tentative="0">
      <w:start w:val="1"/>
      <w:numFmt w:val="decimal"/>
      <w:suff w:val="space"/>
      <w:lvlText w:val="%1.%2"/>
      <w:lvlJc w:val="left"/>
      <w:rPr>
        <w:rFonts w:hint="default" w:cs="Times New Roman"/>
      </w:rPr>
    </w:lvl>
    <w:lvl w:ilvl="2" w:tentative="0">
      <w:start w:val="1"/>
      <w:numFmt w:val="decimal"/>
      <w:suff w:val="space"/>
      <w:lvlText w:val="%1.%2.%3"/>
      <w:lvlJc w:val="left"/>
      <w:rPr>
        <w:rFonts w:hint="default" w:cs="Times New Roman"/>
      </w:rPr>
    </w:lvl>
    <w:lvl w:ilvl="3" w:tentative="0">
      <w:start w:val="1"/>
      <w:numFmt w:val="decimal"/>
      <w:suff w:val="space"/>
      <w:lvlText w:val="%1.%2.%3.%4"/>
      <w:lvlJc w:val="left"/>
      <w:rPr>
        <w:rFonts w:hint="default" w:cs="Times New Roman"/>
      </w:rPr>
    </w:lvl>
    <w:lvl w:ilvl="4" w:tentative="0">
      <w:start w:val="1"/>
      <w:numFmt w:val="decimal"/>
      <w:suff w:val="space"/>
      <w:lvlText w:val="%1.%2.%3.%4.%5"/>
      <w:lvlJc w:val="left"/>
      <w:rPr>
        <w:rFonts w:hint="default" w:cs="Times New Roman"/>
      </w:rPr>
    </w:lvl>
    <w:lvl w:ilvl="5" w:tentative="0">
      <w:start w:val="1"/>
      <w:numFmt w:val="decimal"/>
      <w:suff w:val="space"/>
      <w:lvlText w:val="%1.%2.%3.%4.%5.%6"/>
      <w:lvlJc w:val="left"/>
      <w:rPr>
        <w:rFonts w:hint="default" w:cs="Times New Roman"/>
      </w:rPr>
    </w:lvl>
    <w:lvl w:ilvl="6" w:tentative="0">
      <w:start w:val="1"/>
      <w:numFmt w:val="decimal"/>
      <w:suff w:val="space"/>
      <w:lvlText w:val="%1.%2.%3.%4.%5.%6.%7"/>
      <w:lvlJc w:val="left"/>
      <w:rPr>
        <w:rFonts w:hint="default" w:cs="Times New Roman"/>
      </w:rPr>
    </w:lvl>
    <w:lvl w:ilvl="7" w:tentative="0">
      <w:start w:val="1"/>
      <w:numFmt w:val="decimal"/>
      <w:suff w:val="space"/>
      <w:lvlText w:val="%1.%2.%3.%4.%5.%6.%7.%8"/>
      <w:lvlJc w:val="left"/>
      <w:rPr>
        <w:rFonts w:hint="default" w:cs="Times New Roman"/>
      </w:rPr>
    </w:lvl>
    <w:lvl w:ilvl="8" w:tentative="0">
      <w:start w:val="1"/>
      <w:numFmt w:val="decimal"/>
      <w:suff w:val="space"/>
      <w:lvlText w:val="%1.%2.%3.%4.%5.%6.%7.%8.%9"/>
      <w:lvlJc w:val="left"/>
      <w:rPr>
        <w:rFonts w:hint="default" w:cs="Times New Roman"/>
      </w:rPr>
    </w:lvl>
  </w:abstractNum>
  <w:abstractNum w:abstractNumId="4">
    <w:nsid w:val="535BD480"/>
    <w:multiLevelType w:val="singleLevel"/>
    <w:tmpl w:val="535BD480"/>
    <w:lvl w:ilvl="0" w:tentative="0">
      <w:start w:val="1"/>
      <w:numFmt w:val="decimal"/>
      <w:suff w:val="nothing"/>
      <w:lvlText w:val="（%1）"/>
      <w:lvlJc w:val="left"/>
      <w:rPr>
        <w:rFonts w:cs="Times New Roman"/>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true"/>
  <w:bordersDoNotSurroundFooter w:val="true"/>
  <w:attachedTemplate r:id="rId1"/>
  <w:documentProtection w:enforcement="0"/>
  <w:defaultTabStop w:val="420"/>
  <w:drawingGridHorizontalSpacing w:val="320"/>
  <w:drawingGridVerticalSpacing w:val="218"/>
  <w:displayHorizontalDrawingGridEvery w:val="1"/>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53E99"/>
    <w:rsid w:val="0008045E"/>
    <w:rsid w:val="00084A67"/>
    <w:rsid w:val="001B74B9"/>
    <w:rsid w:val="002364A2"/>
    <w:rsid w:val="0027354F"/>
    <w:rsid w:val="002A1F67"/>
    <w:rsid w:val="002C66A2"/>
    <w:rsid w:val="002F7356"/>
    <w:rsid w:val="0032771C"/>
    <w:rsid w:val="00371A19"/>
    <w:rsid w:val="003C32D5"/>
    <w:rsid w:val="004613A8"/>
    <w:rsid w:val="004739A4"/>
    <w:rsid w:val="00475F53"/>
    <w:rsid w:val="004836A1"/>
    <w:rsid w:val="004A20DC"/>
    <w:rsid w:val="004D2595"/>
    <w:rsid w:val="004D6213"/>
    <w:rsid w:val="004E51B6"/>
    <w:rsid w:val="00525A7A"/>
    <w:rsid w:val="005D2874"/>
    <w:rsid w:val="00607B89"/>
    <w:rsid w:val="00627316"/>
    <w:rsid w:val="006716C7"/>
    <w:rsid w:val="006D5CD0"/>
    <w:rsid w:val="00710AFF"/>
    <w:rsid w:val="00714D9E"/>
    <w:rsid w:val="00744435"/>
    <w:rsid w:val="0076261E"/>
    <w:rsid w:val="007939DA"/>
    <w:rsid w:val="007A0C55"/>
    <w:rsid w:val="007C28DD"/>
    <w:rsid w:val="007C5447"/>
    <w:rsid w:val="00816D7D"/>
    <w:rsid w:val="0083076C"/>
    <w:rsid w:val="008333E9"/>
    <w:rsid w:val="008A54B0"/>
    <w:rsid w:val="008C5C3A"/>
    <w:rsid w:val="008E5C3E"/>
    <w:rsid w:val="00905190"/>
    <w:rsid w:val="0094501E"/>
    <w:rsid w:val="00945DF6"/>
    <w:rsid w:val="00953E99"/>
    <w:rsid w:val="0098210D"/>
    <w:rsid w:val="00987DF1"/>
    <w:rsid w:val="00991335"/>
    <w:rsid w:val="009D3BA1"/>
    <w:rsid w:val="009F4A09"/>
    <w:rsid w:val="00A438B9"/>
    <w:rsid w:val="00AE60A9"/>
    <w:rsid w:val="00AE6BCA"/>
    <w:rsid w:val="00B04CDC"/>
    <w:rsid w:val="00B1193E"/>
    <w:rsid w:val="00B32D68"/>
    <w:rsid w:val="00BF66EF"/>
    <w:rsid w:val="00C14173"/>
    <w:rsid w:val="00C31660"/>
    <w:rsid w:val="00C361F9"/>
    <w:rsid w:val="00C83A1E"/>
    <w:rsid w:val="00C90960"/>
    <w:rsid w:val="00C921AE"/>
    <w:rsid w:val="00D41AAE"/>
    <w:rsid w:val="00DC3904"/>
    <w:rsid w:val="00E6381A"/>
    <w:rsid w:val="00EB086B"/>
    <w:rsid w:val="00F12351"/>
    <w:rsid w:val="00F47DD7"/>
    <w:rsid w:val="00F50134"/>
    <w:rsid w:val="093263E7"/>
    <w:rsid w:val="0E0F27A3"/>
    <w:rsid w:val="0F8C5836"/>
    <w:rsid w:val="102A5644"/>
    <w:rsid w:val="197877A2"/>
    <w:rsid w:val="1ADC7CF7"/>
    <w:rsid w:val="1D385263"/>
    <w:rsid w:val="2DFA70A8"/>
    <w:rsid w:val="35485B76"/>
    <w:rsid w:val="3EC228C9"/>
    <w:rsid w:val="4B3C0690"/>
    <w:rsid w:val="4BA85FB5"/>
    <w:rsid w:val="5D5C7336"/>
    <w:rsid w:val="5FDD0D19"/>
    <w:rsid w:val="6050092C"/>
    <w:rsid w:val="611D67A3"/>
    <w:rsid w:val="6C824C04"/>
    <w:rsid w:val="70CA49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仿宋_GB2312" w:hAnsiTheme="minorHAnsi" w:eastAsia="仿宋_GB2312"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仿宋_GB2312" w:eastAsia="仿宋_GB2312" w:hAnsiTheme="minorHAnsi" w:cstheme="minorBidi"/>
      <w:kern w:val="2"/>
      <w:sz w:val="32"/>
      <w:szCs w:val="32"/>
      <w:lang w:val="en-US" w:eastAsia="zh-CN" w:bidi="ar-SA"/>
    </w:rPr>
  </w:style>
  <w:style w:type="character" w:default="1" w:styleId="10">
    <w:name w:val="Default Paragraph Font"/>
    <w:unhideWhenUsed/>
    <w:qFormat/>
    <w:uiPriority w:val="1"/>
  </w:style>
  <w:style w:type="table" w:default="1" w:styleId="8">
    <w:name w:val="Normal Table"/>
    <w:unhideWhenUsed/>
    <w:qFormat/>
    <w:uiPriority w:val="99"/>
    <w:tblPr>
      <w:tblCellMar>
        <w:top w:w="0" w:type="dxa"/>
        <w:left w:w="108" w:type="dxa"/>
        <w:bottom w:w="0" w:type="dxa"/>
        <w:right w:w="108" w:type="dxa"/>
      </w:tblCellMar>
    </w:tblPr>
  </w:style>
  <w:style w:type="paragraph" w:styleId="2">
    <w:name w:val="Balloon Text"/>
    <w:basedOn w:val="1"/>
    <w:unhideWhenUsed/>
    <w:qFormat/>
    <w:uiPriority w:val="99"/>
    <w:rPr>
      <w:sz w:val="18"/>
      <w:szCs w:val="18"/>
    </w:rPr>
  </w:style>
  <w:style w:type="paragraph" w:styleId="3">
    <w:name w:val="Body Text Indent"/>
    <w:basedOn w:val="1"/>
    <w:unhideWhenUsed/>
    <w:qFormat/>
    <w:uiPriority w:val="99"/>
    <w:pPr>
      <w:spacing w:after="120"/>
      <w:ind w:left="420" w:leftChars="200"/>
    </w:p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7">
    <w:name w:val="Body Text First Indent 2"/>
    <w:basedOn w:val="3"/>
    <w:unhideWhenUsed/>
    <w:qFormat/>
    <w:uiPriority w:val="99"/>
    <w:pPr>
      <w:autoSpaceDE w:val="0"/>
      <w:autoSpaceDN w:val="0"/>
      <w:adjustRightInd w:val="0"/>
      <w:spacing w:line="259" w:lineRule="auto"/>
      <w:ind w:firstLine="420" w:firstLineChars="200"/>
      <w:jc w:val="left"/>
    </w:pPr>
    <w:rPr>
      <w:rFonts w:ascii="宋体" w:hAnsi="宋体"/>
      <w:kern w:val="0"/>
      <w:sz w:val="24"/>
      <w:szCs w:val="20"/>
    </w:rPr>
  </w:style>
  <w:style w:type="table" w:styleId="9">
    <w:name w:val="Table Grid"/>
    <w:basedOn w:val="8"/>
    <w:qFormat/>
    <w:uiPriority w:val="59"/>
    <w:rPr>
      <w:rFonts w:ascii="Calibri" w:hAnsi="Calibri" w:eastAsia="宋体" w:cs="Times New Roman"/>
      <w:kern w:val="0"/>
      <w:sz w:val="20"/>
      <w:szCs w:val="20"/>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1">
    <w:name w:val="Hyperlink"/>
    <w:basedOn w:val="10"/>
    <w:unhideWhenUsed/>
    <w:qFormat/>
    <w:uiPriority w:val="99"/>
    <w:rPr>
      <w:rFonts w:cs="Times New Roman"/>
      <w:color w:val="0000FF"/>
      <w:u w:val="single"/>
    </w:rPr>
  </w:style>
  <w:style w:type="character" w:customStyle="1" w:styleId="12">
    <w:name w:val="页眉 Char"/>
    <w:basedOn w:val="10"/>
    <w:link w:val="5"/>
    <w:semiHidden/>
    <w:qFormat/>
    <w:uiPriority w:val="99"/>
    <w:rPr>
      <w:sz w:val="18"/>
      <w:szCs w:val="18"/>
    </w:rPr>
  </w:style>
  <w:style w:type="character" w:customStyle="1" w:styleId="13">
    <w:name w:val="页脚 Char"/>
    <w:basedOn w:val="10"/>
    <w:link w:val="4"/>
    <w:semiHidden/>
    <w:qFormat/>
    <w:uiPriority w:val="99"/>
    <w:rPr>
      <w:sz w:val="18"/>
      <w:szCs w:val="18"/>
    </w:rPr>
  </w:style>
  <w:style w:type="paragraph" w:customStyle="1" w:styleId="14">
    <w:name w:val="列出段落1"/>
    <w:basedOn w:val="1"/>
    <w:qFormat/>
    <w:uiPriority w:val="99"/>
    <w:pPr>
      <w:ind w:firstLine="420" w:firstLineChars="200"/>
    </w:pPr>
    <w:rPr>
      <w:rFonts w:ascii="Times New Roman" w:hAnsi="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file:///\\var\folders\zp\k5w6mbps7mj826dwrqt_0n040000gn\T\com.microsoft.Word\WebArchiveCopyPasteTempFiles\page1image48185968" TargetMode="Externa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home/neokylin/C:\Users\Administrator\Desktop\&#27029;&#31185;.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榕科</Template>
  <Company>【你好，windows】</Company>
  <Pages>2</Pages>
  <Words>20</Words>
  <Characters>115</Characters>
  <Lines>1</Lines>
  <Paragraphs>1</Paragraphs>
  <TotalTime>0</TotalTime>
  <ScaleCrop>false</ScaleCrop>
  <LinksUpToDate>false</LinksUpToDate>
  <CharactersWithSpaces>134</CharactersWithSpaces>
  <Application>WPS Office_11.8.2.9864_F1E327BC-269C-435d-A152-05C5408002CA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2020-05-14T09:01:00Z</dcterms:created>
  <dc:creator>【你好，windows】</dc:creator>
  <cp:lastModifiedBy>neokylin</cp:lastModifiedBy>
  <cp:lastPrinted>2022-03-29T10:43:00Z</cp:lastPrinted>
  <dcterms:modified xsi:type="dcterms:W3CDTF">2022-09-05T17:02:42Z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2052-11.8.2.9864</vt:lpwstr>
  </property>
</Properties>
</file>