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AE876">
      <w:pPr>
        <w:snapToGrid w:val="0"/>
        <w:spacing w:line="360" w:lineRule="auto"/>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sz w:val="32"/>
          <w:szCs w:val="32"/>
          <w:lang w:val="en-US" w:eastAsia="zh-CN"/>
        </w:rPr>
        <w:t>6</w:t>
      </w:r>
    </w:p>
    <w:p w14:paraId="4DDBC408">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val="en-US" w:eastAsia="zh-CN"/>
        </w:rPr>
        <w:t>幸福家庭成长项目</w:t>
      </w:r>
      <w:r>
        <w:rPr>
          <w:rFonts w:hint="eastAsia" w:ascii="方正小标宋简体" w:hAnsi="方正小标宋简体" w:eastAsia="方正小标宋简体" w:cs="方正小标宋简体"/>
          <w:b/>
          <w:bCs/>
          <w:sz w:val="32"/>
          <w:szCs w:val="32"/>
        </w:rPr>
        <w:t>评选方法及评分标准</w:t>
      </w:r>
    </w:p>
    <w:p w14:paraId="33EFE6E3">
      <w:pPr>
        <w:snapToGrid w:val="0"/>
        <w:spacing w:line="380" w:lineRule="exact"/>
        <w:ind w:firstLine="480" w:firstLineChars="200"/>
        <w:rPr>
          <w:rFonts w:hint="eastAsia" w:ascii="宋体" w:hAnsi="宋体"/>
          <w:sz w:val="24"/>
        </w:rPr>
      </w:pPr>
      <w:r>
        <w:rPr>
          <w:rFonts w:hint="eastAsia" w:ascii="宋体" w:hAnsi="宋体" w:cs="宋体"/>
          <w:kern w:val="1"/>
          <w:sz w:val="24"/>
        </w:rPr>
        <w:t>本项目</w:t>
      </w:r>
      <w:r>
        <w:rPr>
          <w:rFonts w:hint="eastAsia" w:ascii="宋体" w:hAnsi="宋体"/>
          <w:sz w:val="24"/>
        </w:rPr>
        <w:t>以</w:t>
      </w:r>
      <w:r>
        <w:rPr>
          <w:rFonts w:hint="eastAsia" w:ascii="宋体" w:hAnsi="宋体"/>
          <w:b/>
          <w:sz w:val="24"/>
        </w:rPr>
        <w:t>综合评分法</w:t>
      </w:r>
      <w:r>
        <w:rPr>
          <w:rFonts w:hint="eastAsia" w:ascii="宋体" w:hAnsi="宋体"/>
          <w:sz w:val="24"/>
        </w:rPr>
        <w:t>进行，</w:t>
      </w:r>
      <w:r>
        <w:rPr>
          <w:rFonts w:hint="eastAsia" w:ascii="宋体" w:hAnsi="宋体"/>
          <w:sz w:val="24"/>
          <w:lang w:val="en-US" w:eastAsia="zh-CN"/>
        </w:rPr>
        <w:t>比选</w:t>
      </w:r>
      <w:r>
        <w:rPr>
          <w:rFonts w:hint="eastAsia" w:ascii="宋体" w:hAnsi="宋体"/>
          <w:sz w:val="24"/>
        </w:rPr>
        <w:t>组将对</w:t>
      </w:r>
      <w:r>
        <w:rPr>
          <w:rFonts w:hint="eastAsia" w:ascii="宋体" w:hAnsi="宋体"/>
          <w:sz w:val="24"/>
          <w:lang w:eastAsia="zh-CN"/>
        </w:rPr>
        <w:t>供应商</w:t>
      </w:r>
      <w:r>
        <w:rPr>
          <w:rFonts w:hint="eastAsia" w:ascii="宋体" w:hAnsi="宋体"/>
          <w:sz w:val="24"/>
        </w:rPr>
        <w:t>根据以下方法及标准进行评议和评分。最终根据综合得分高低顺序</w:t>
      </w:r>
      <w:r>
        <w:rPr>
          <w:rFonts w:hint="eastAsia" w:ascii="宋体" w:hAnsi="宋体"/>
          <w:b/>
          <w:sz w:val="24"/>
        </w:rPr>
        <w:t>推荐中标候选人</w:t>
      </w:r>
      <w:r>
        <w:rPr>
          <w:rFonts w:hint="eastAsia" w:ascii="宋体" w:hAnsi="宋体"/>
          <w:sz w:val="24"/>
        </w:rPr>
        <w:t>，若【综合得分】有相同的最高分，则在【综合得分】相同的</w:t>
      </w:r>
      <w:r>
        <w:rPr>
          <w:rFonts w:hint="eastAsia" w:ascii="宋体" w:hAnsi="宋体"/>
          <w:sz w:val="24"/>
          <w:lang w:eastAsia="zh-CN"/>
        </w:rPr>
        <w:t>供应商</w:t>
      </w:r>
      <w:r>
        <w:rPr>
          <w:rFonts w:hint="eastAsia" w:ascii="宋体" w:hAnsi="宋体"/>
          <w:sz w:val="24"/>
        </w:rPr>
        <w:t>中按【</w:t>
      </w:r>
      <w:r>
        <w:rPr>
          <w:rFonts w:hint="eastAsia" w:ascii="宋体" w:hAnsi="宋体"/>
          <w:sz w:val="24"/>
          <w:lang w:val="en-US" w:eastAsia="zh-CN"/>
        </w:rPr>
        <w:t>综合实力</w:t>
      </w:r>
      <w:r>
        <w:rPr>
          <w:rFonts w:hint="eastAsia" w:ascii="宋体" w:hAnsi="宋体"/>
          <w:sz w:val="24"/>
        </w:rPr>
        <w:t>】得分高低顺序推荐中标候选人，若【综合</w:t>
      </w:r>
      <w:r>
        <w:rPr>
          <w:rFonts w:hint="eastAsia" w:ascii="宋体" w:hAnsi="宋体"/>
          <w:sz w:val="24"/>
          <w:lang w:val="en-US" w:eastAsia="zh-CN"/>
        </w:rPr>
        <w:t>得分</w:t>
      </w:r>
      <w:r>
        <w:rPr>
          <w:rFonts w:hint="eastAsia" w:ascii="宋体" w:hAnsi="宋体"/>
          <w:sz w:val="24"/>
        </w:rPr>
        <w:t>】和【</w:t>
      </w:r>
      <w:r>
        <w:rPr>
          <w:rFonts w:hint="eastAsia" w:ascii="宋体" w:hAnsi="宋体"/>
          <w:sz w:val="24"/>
          <w:lang w:val="en-US" w:eastAsia="zh-CN"/>
        </w:rPr>
        <w:t>综合实力</w:t>
      </w:r>
      <w:r>
        <w:rPr>
          <w:rFonts w:hint="eastAsia" w:ascii="宋体" w:hAnsi="宋体"/>
          <w:sz w:val="24"/>
        </w:rPr>
        <w:t>】得分均相同的，则在【综合得分】和【</w:t>
      </w:r>
      <w:r>
        <w:rPr>
          <w:rFonts w:hint="eastAsia" w:ascii="宋体" w:hAnsi="宋体"/>
          <w:sz w:val="24"/>
          <w:lang w:val="en-US" w:eastAsia="zh-CN"/>
        </w:rPr>
        <w:t>综合实力</w:t>
      </w:r>
      <w:r>
        <w:rPr>
          <w:rFonts w:hint="eastAsia" w:ascii="宋体" w:hAnsi="宋体"/>
          <w:sz w:val="24"/>
        </w:rPr>
        <w:t>】得分相同的</w:t>
      </w:r>
      <w:r>
        <w:rPr>
          <w:rFonts w:hint="eastAsia" w:ascii="宋体" w:hAnsi="宋体"/>
          <w:sz w:val="24"/>
          <w:lang w:eastAsia="zh-CN"/>
        </w:rPr>
        <w:t>供应商</w:t>
      </w:r>
      <w:r>
        <w:rPr>
          <w:rFonts w:hint="eastAsia" w:ascii="宋体" w:hAnsi="宋体"/>
          <w:sz w:val="24"/>
        </w:rPr>
        <w:t>中按【</w:t>
      </w:r>
      <w:r>
        <w:rPr>
          <w:rFonts w:hint="eastAsia" w:ascii="宋体" w:hAnsi="宋体"/>
          <w:sz w:val="24"/>
          <w:lang w:val="en-US" w:eastAsia="zh-CN"/>
        </w:rPr>
        <w:t>经费预算</w:t>
      </w:r>
      <w:r>
        <w:rPr>
          <w:rFonts w:hint="eastAsia" w:ascii="宋体" w:hAnsi="宋体"/>
          <w:sz w:val="24"/>
        </w:rPr>
        <w:t>】得分高低顺序推荐中标候选人。</w:t>
      </w:r>
    </w:p>
    <w:p w14:paraId="05E60D3F">
      <w:pPr>
        <w:snapToGrid w:val="0"/>
        <w:spacing w:line="380" w:lineRule="exact"/>
        <w:ind w:firstLine="480" w:firstLineChars="200"/>
        <w:rPr>
          <w:rFonts w:ascii="宋体" w:hAnsi="宋体"/>
          <w:sz w:val="24"/>
        </w:rPr>
      </w:pPr>
      <w:r>
        <w:rPr>
          <w:rFonts w:hint="eastAsia" w:ascii="宋体" w:hAnsi="宋体"/>
          <w:sz w:val="24"/>
          <w:lang w:val="en-US" w:eastAsia="zh-CN"/>
        </w:rPr>
        <w:t>比</w:t>
      </w:r>
      <w:r>
        <w:rPr>
          <w:rFonts w:hint="eastAsia" w:ascii="宋体" w:hAnsi="宋体"/>
          <w:sz w:val="24"/>
        </w:rPr>
        <w:t>选组将严格按照评选方法及评分标准进行评选，对所有</w:t>
      </w:r>
      <w:r>
        <w:rPr>
          <w:rFonts w:hint="eastAsia" w:ascii="宋体" w:hAnsi="宋体"/>
          <w:sz w:val="24"/>
          <w:lang w:eastAsia="zh-CN"/>
        </w:rPr>
        <w:t>供应商</w:t>
      </w:r>
      <w:r>
        <w:rPr>
          <w:rFonts w:hint="eastAsia" w:ascii="宋体" w:hAnsi="宋体"/>
          <w:sz w:val="24"/>
        </w:rPr>
        <w:t>的评估，都采用相同的程序和标准。</w:t>
      </w:r>
      <w:r>
        <w:rPr>
          <w:rFonts w:hint="eastAsia" w:ascii="宋体" w:hAnsi="宋体"/>
          <w:sz w:val="24"/>
          <w:lang w:val="en-US" w:eastAsia="zh-CN"/>
        </w:rPr>
        <w:t>比</w:t>
      </w:r>
      <w:r>
        <w:rPr>
          <w:rFonts w:hint="eastAsia" w:ascii="宋体" w:hAnsi="宋体"/>
          <w:sz w:val="24"/>
        </w:rPr>
        <w:t>选前，</w:t>
      </w:r>
      <w:r>
        <w:rPr>
          <w:rFonts w:hint="eastAsia" w:ascii="宋体" w:hAnsi="宋体"/>
          <w:sz w:val="24"/>
          <w:lang w:val="en-US" w:eastAsia="zh-CN"/>
        </w:rPr>
        <w:t>比</w:t>
      </w:r>
      <w:r>
        <w:rPr>
          <w:rFonts w:hint="eastAsia" w:ascii="宋体" w:hAnsi="宋体"/>
          <w:sz w:val="24"/>
        </w:rPr>
        <w:t>选组可根据实际需要对评选方法及评分标准进行细化或适当调整。</w:t>
      </w:r>
    </w:p>
    <w:p w14:paraId="7BBFFE78">
      <w:pPr>
        <w:snapToGrid w:val="0"/>
        <w:spacing w:line="380" w:lineRule="exact"/>
        <w:ind w:firstLine="480" w:firstLineChars="200"/>
        <w:rPr>
          <w:rFonts w:ascii="宋体" w:hAnsi="宋体"/>
          <w:sz w:val="24"/>
        </w:rPr>
      </w:pPr>
      <w:r>
        <w:rPr>
          <w:rFonts w:hint="eastAsia" w:ascii="宋体" w:hAnsi="宋体"/>
          <w:sz w:val="24"/>
        </w:rPr>
        <w:t>计算分数时四舍五入取小数点后两位。主要评选项目如下：</w:t>
      </w:r>
    </w:p>
    <w:p w14:paraId="7706461C">
      <w:pPr>
        <w:snapToGrid w:val="0"/>
        <w:spacing w:line="380" w:lineRule="exact"/>
        <w:ind w:firstLine="480" w:firstLineChars="200"/>
        <w:rPr>
          <w:rFonts w:hint="eastAsia" w:ascii="宋体" w:hAnsi="宋体" w:eastAsia="宋体"/>
          <w:sz w:val="24"/>
          <w:szCs w:val="22"/>
          <w:lang w:eastAsia="zh-CN"/>
        </w:rPr>
      </w:pPr>
      <w:r>
        <w:rPr>
          <w:rFonts w:hint="eastAsia" w:ascii="宋体" w:hAnsi="宋体"/>
          <w:sz w:val="24"/>
          <w:szCs w:val="22"/>
        </w:rPr>
        <w:t>1.综合实力情况，分值</w:t>
      </w:r>
      <w:r>
        <w:rPr>
          <w:rFonts w:hint="eastAsia" w:ascii="宋体" w:hAnsi="宋体"/>
          <w:sz w:val="24"/>
          <w:szCs w:val="22"/>
          <w:lang w:val="en-US" w:eastAsia="zh-CN"/>
        </w:rPr>
        <w:t>50</w:t>
      </w:r>
      <w:r>
        <w:rPr>
          <w:rFonts w:hint="eastAsia" w:ascii="宋体" w:hAnsi="宋体"/>
          <w:sz w:val="24"/>
          <w:szCs w:val="22"/>
        </w:rPr>
        <w:t>分</w:t>
      </w:r>
      <w:r>
        <w:rPr>
          <w:rFonts w:hint="eastAsia" w:ascii="宋体" w:hAnsi="宋体"/>
          <w:sz w:val="24"/>
          <w:szCs w:val="22"/>
          <w:lang w:eastAsia="zh-CN"/>
        </w:rPr>
        <w:t>。</w:t>
      </w:r>
      <w:bookmarkStart w:id="0" w:name="_GoBack"/>
      <w:bookmarkEnd w:id="0"/>
    </w:p>
    <w:p w14:paraId="18493CD6">
      <w:pPr>
        <w:snapToGrid w:val="0"/>
        <w:spacing w:line="380" w:lineRule="exact"/>
        <w:ind w:firstLine="480" w:firstLineChars="200"/>
        <w:rPr>
          <w:rFonts w:hint="eastAsia" w:ascii="宋体" w:hAnsi="宋体" w:eastAsia="宋体"/>
          <w:sz w:val="24"/>
          <w:szCs w:val="22"/>
          <w:lang w:eastAsia="zh-CN"/>
        </w:rPr>
      </w:pPr>
      <w:r>
        <w:rPr>
          <w:rFonts w:hint="eastAsia" w:ascii="宋体" w:hAnsi="宋体"/>
          <w:sz w:val="24"/>
          <w:szCs w:val="22"/>
        </w:rPr>
        <w:t>2.经费预算情况，分值</w:t>
      </w:r>
      <w:r>
        <w:rPr>
          <w:rFonts w:hint="eastAsia" w:ascii="宋体" w:hAnsi="宋体"/>
          <w:sz w:val="24"/>
          <w:szCs w:val="22"/>
          <w:lang w:val="en-US" w:eastAsia="zh-CN"/>
        </w:rPr>
        <w:t>50</w:t>
      </w:r>
      <w:r>
        <w:rPr>
          <w:rFonts w:hint="eastAsia" w:ascii="宋体" w:hAnsi="宋体"/>
          <w:sz w:val="24"/>
          <w:szCs w:val="22"/>
        </w:rPr>
        <w:t>分</w:t>
      </w:r>
      <w:r>
        <w:rPr>
          <w:rFonts w:hint="eastAsia" w:ascii="宋体" w:hAnsi="宋体"/>
          <w:sz w:val="24"/>
          <w:szCs w:val="22"/>
          <w:lang w:eastAsia="zh-CN"/>
        </w:rPr>
        <w:t>。</w:t>
      </w:r>
    </w:p>
    <w:p w14:paraId="53866221">
      <w:pPr>
        <w:snapToGrid w:val="0"/>
        <w:spacing w:line="380" w:lineRule="exact"/>
        <w:ind w:firstLine="472" w:firstLineChars="196"/>
        <w:rPr>
          <w:rFonts w:ascii="宋体" w:hAnsi="宋体"/>
          <w:b/>
          <w:bCs/>
          <w:sz w:val="24"/>
          <w:szCs w:val="22"/>
        </w:rPr>
      </w:pPr>
      <w:r>
        <w:rPr>
          <w:rFonts w:hint="eastAsia" w:ascii="宋体" w:hAnsi="宋体"/>
          <w:b/>
          <w:bCs/>
          <w:sz w:val="24"/>
          <w:szCs w:val="22"/>
        </w:rPr>
        <w:t>具体评分标准如下：</w:t>
      </w:r>
    </w:p>
    <w:tbl>
      <w:tblPr>
        <w:tblStyle w:val="4"/>
        <w:tblW w:w="8960" w:type="dxa"/>
        <w:tblInd w:w="93" w:type="dxa"/>
        <w:tblLayout w:type="autofit"/>
        <w:tblCellMar>
          <w:top w:w="0" w:type="dxa"/>
          <w:left w:w="108" w:type="dxa"/>
          <w:bottom w:w="0" w:type="dxa"/>
          <w:right w:w="108" w:type="dxa"/>
        </w:tblCellMar>
      </w:tblPr>
      <w:tblGrid>
        <w:gridCol w:w="926"/>
        <w:gridCol w:w="1464"/>
        <w:gridCol w:w="5631"/>
        <w:gridCol w:w="939"/>
      </w:tblGrid>
      <w:tr w14:paraId="618EB592">
        <w:tblPrEx>
          <w:tblCellMar>
            <w:top w:w="0" w:type="dxa"/>
            <w:left w:w="108" w:type="dxa"/>
            <w:bottom w:w="0" w:type="dxa"/>
            <w:right w:w="108" w:type="dxa"/>
          </w:tblCellMar>
        </w:tblPrEx>
        <w:trPr>
          <w:trHeight w:val="1173" w:hRule="atLeast"/>
        </w:trPr>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35EDAEC7">
            <w:pPr>
              <w:widowControl/>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1464" w:type="dxa"/>
            <w:tcBorders>
              <w:top w:val="single" w:color="auto" w:sz="4" w:space="0"/>
              <w:left w:val="nil"/>
              <w:bottom w:val="single" w:color="auto" w:sz="4" w:space="0"/>
              <w:right w:val="single" w:color="auto" w:sz="4" w:space="0"/>
            </w:tcBorders>
            <w:shd w:val="clear" w:color="auto" w:fill="auto"/>
            <w:vAlign w:val="center"/>
          </w:tcPr>
          <w:p w14:paraId="2366F70D">
            <w:pPr>
              <w:widowControl/>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5631" w:type="dxa"/>
            <w:tcBorders>
              <w:top w:val="single" w:color="auto" w:sz="4" w:space="0"/>
              <w:left w:val="nil"/>
              <w:bottom w:val="single" w:color="auto" w:sz="4" w:space="0"/>
              <w:right w:val="single" w:color="auto" w:sz="4" w:space="0"/>
            </w:tcBorders>
            <w:shd w:val="clear" w:color="auto" w:fill="auto"/>
            <w:vAlign w:val="center"/>
          </w:tcPr>
          <w:p w14:paraId="01BC365D">
            <w:pPr>
              <w:widowControl/>
              <w:jc w:val="center"/>
              <w:rPr>
                <w:rFonts w:ascii="宋体" w:hAnsi="宋体" w:cs="宋体"/>
                <w:b/>
                <w:bCs/>
                <w:color w:val="000000"/>
                <w:kern w:val="0"/>
                <w:sz w:val="24"/>
              </w:rPr>
            </w:pPr>
            <w:r>
              <w:rPr>
                <w:rFonts w:hint="eastAsia" w:ascii="宋体" w:hAnsi="宋体" w:cs="宋体"/>
                <w:b/>
                <w:bCs/>
                <w:color w:val="000000"/>
                <w:kern w:val="0"/>
                <w:sz w:val="24"/>
              </w:rPr>
              <w:t>标准</w:t>
            </w:r>
          </w:p>
        </w:tc>
        <w:tc>
          <w:tcPr>
            <w:tcW w:w="939" w:type="dxa"/>
            <w:tcBorders>
              <w:top w:val="single" w:color="auto" w:sz="4" w:space="0"/>
              <w:left w:val="nil"/>
              <w:bottom w:val="single" w:color="auto" w:sz="4" w:space="0"/>
              <w:right w:val="single" w:color="auto" w:sz="4" w:space="0"/>
            </w:tcBorders>
            <w:shd w:val="clear" w:color="auto" w:fill="auto"/>
            <w:vAlign w:val="center"/>
          </w:tcPr>
          <w:p w14:paraId="5AF387A3">
            <w:pPr>
              <w:widowControl/>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评标分值</w:t>
            </w:r>
          </w:p>
        </w:tc>
      </w:tr>
      <w:tr w14:paraId="3CBACE0E">
        <w:tblPrEx>
          <w:tblCellMar>
            <w:top w:w="0" w:type="dxa"/>
            <w:left w:w="108" w:type="dxa"/>
            <w:bottom w:w="0" w:type="dxa"/>
            <w:right w:w="108" w:type="dxa"/>
          </w:tblCellMar>
        </w:tblPrEx>
        <w:trPr>
          <w:trHeight w:val="555" w:hRule="atLeast"/>
        </w:trPr>
        <w:tc>
          <w:tcPr>
            <w:tcW w:w="89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D6DD290">
            <w:pPr>
              <w:widowControl/>
              <w:jc w:val="center"/>
              <w:rPr>
                <w:rFonts w:ascii="宋体" w:hAnsi="宋体" w:cs="宋体"/>
                <w:b/>
                <w:color w:val="000000"/>
                <w:kern w:val="0"/>
                <w:sz w:val="24"/>
              </w:rPr>
            </w:pPr>
            <w:r>
              <w:rPr>
                <w:rFonts w:hint="eastAsia" w:ascii="宋体" w:hAnsi="宋体" w:cs="宋体"/>
                <w:b/>
                <w:color w:val="000000"/>
                <w:kern w:val="0"/>
                <w:sz w:val="24"/>
              </w:rPr>
              <w:t>一、综合实力评分（</w:t>
            </w:r>
            <w:r>
              <w:rPr>
                <w:rFonts w:hint="eastAsia" w:ascii="宋体" w:hAnsi="宋体" w:cs="宋体"/>
                <w:b/>
                <w:color w:val="000000"/>
                <w:kern w:val="0"/>
                <w:sz w:val="24"/>
                <w:lang w:val="en-US" w:eastAsia="zh-CN"/>
              </w:rPr>
              <w:t>5</w:t>
            </w:r>
            <w:r>
              <w:rPr>
                <w:rFonts w:hint="eastAsia" w:ascii="宋体" w:hAnsi="宋体" w:cs="宋体"/>
                <w:b/>
                <w:color w:val="000000"/>
                <w:kern w:val="0"/>
                <w:sz w:val="24"/>
              </w:rPr>
              <w:t>0分）</w:t>
            </w:r>
          </w:p>
        </w:tc>
      </w:tr>
      <w:tr w14:paraId="0E799503">
        <w:tblPrEx>
          <w:tblCellMar>
            <w:top w:w="0" w:type="dxa"/>
            <w:left w:w="108" w:type="dxa"/>
            <w:bottom w:w="0" w:type="dxa"/>
            <w:right w:w="108" w:type="dxa"/>
          </w:tblCellMar>
        </w:tblPrEx>
        <w:trPr>
          <w:trHeight w:val="2274" w:hRule="atLeast"/>
        </w:trPr>
        <w:tc>
          <w:tcPr>
            <w:tcW w:w="92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0D78851C">
            <w:pPr>
              <w:widowControl/>
              <w:jc w:val="center"/>
              <w:rPr>
                <w:rFonts w:ascii="宋体" w:hAnsi="宋体" w:cs="宋体"/>
                <w:b/>
                <w:color w:val="000000"/>
                <w:kern w:val="0"/>
                <w:sz w:val="24"/>
              </w:rPr>
            </w:pPr>
            <w:r>
              <w:rPr>
                <w:rFonts w:hint="eastAsia" w:ascii="宋体" w:hAnsi="宋体" w:cs="宋体"/>
                <w:b/>
                <w:color w:val="000000"/>
                <w:kern w:val="0"/>
                <w:sz w:val="24"/>
              </w:rPr>
              <w:t>综合实力</w:t>
            </w:r>
          </w:p>
        </w:tc>
        <w:tc>
          <w:tcPr>
            <w:tcW w:w="1464" w:type="dxa"/>
            <w:vMerge w:val="restart"/>
            <w:tcBorders>
              <w:top w:val="single" w:color="auto" w:sz="4" w:space="0"/>
              <w:left w:val="nil"/>
              <w:right w:val="single" w:color="auto" w:sz="4" w:space="0"/>
            </w:tcBorders>
            <w:shd w:val="clear" w:color="auto" w:fill="auto"/>
            <w:vAlign w:val="center"/>
          </w:tcPr>
          <w:p w14:paraId="62605D63">
            <w:pPr>
              <w:widowControl/>
              <w:jc w:val="center"/>
              <w:rPr>
                <w:rFonts w:hint="eastAsia" w:ascii="宋体" w:hAnsi="宋体" w:eastAsia="宋体" w:cs="宋体"/>
                <w:b/>
                <w:color w:val="000000"/>
                <w:kern w:val="0"/>
                <w:sz w:val="24"/>
                <w:lang w:eastAsia="zh-CN"/>
              </w:rPr>
            </w:pPr>
            <w:r>
              <w:rPr>
                <w:rFonts w:hint="eastAsia" w:ascii="宋体" w:hAnsi="宋体" w:cs="宋体"/>
                <w:b/>
                <w:bCs w:val="0"/>
                <w:color w:val="000000"/>
                <w:kern w:val="0"/>
                <w:sz w:val="24"/>
              </w:rPr>
              <w:t>项目团队</w:t>
            </w:r>
            <w:r>
              <w:rPr>
                <w:rFonts w:hint="eastAsia" w:ascii="宋体" w:hAnsi="宋体" w:cs="宋体"/>
                <w:b/>
                <w:bCs w:val="0"/>
                <w:color w:val="auto"/>
                <w:kern w:val="0"/>
                <w:sz w:val="24"/>
                <w:highlight w:val="none"/>
              </w:rPr>
              <w:t>具备项目运营资质和能力</w:t>
            </w:r>
            <w:r>
              <w:rPr>
                <w:rFonts w:hint="eastAsia" w:ascii="宋体" w:hAnsi="宋体" w:cs="宋体"/>
                <w:b/>
                <w:bCs w:val="0"/>
                <w:color w:val="auto"/>
                <w:kern w:val="0"/>
                <w:sz w:val="24"/>
                <w:highlight w:val="none"/>
                <w:lang w:eastAsia="zh-CN"/>
              </w:rPr>
              <w:t>（</w:t>
            </w:r>
            <w:r>
              <w:rPr>
                <w:rFonts w:hint="eastAsia" w:ascii="宋体" w:hAnsi="宋体" w:cs="宋体"/>
                <w:b/>
                <w:bCs w:val="0"/>
                <w:color w:val="auto"/>
                <w:kern w:val="0"/>
                <w:sz w:val="24"/>
                <w:highlight w:val="none"/>
                <w:lang w:val="en-US" w:eastAsia="zh-CN"/>
              </w:rPr>
              <w:t>25分</w:t>
            </w:r>
            <w:r>
              <w:rPr>
                <w:rFonts w:hint="eastAsia" w:ascii="宋体" w:hAnsi="宋体" w:cs="宋体"/>
                <w:b/>
                <w:bCs w:val="0"/>
                <w:color w:val="auto"/>
                <w:kern w:val="0"/>
                <w:sz w:val="24"/>
                <w:highlight w:val="none"/>
                <w:lang w:eastAsia="zh-CN"/>
              </w:rPr>
              <w:t>）</w:t>
            </w:r>
          </w:p>
        </w:tc>
        <w:tc>
          <w:tcPr>
            <w:tcW w:w="5631" w:type="dxa"/>
            <w:tcBorders>
              <w:top w:val="nil"/>
              <w:left w:val="nil"/>
              <w:bottom w:val="single" w:color="auto" w:sz="4" w:space="0"/>
              <w:right w:val="single" w:color="auto" w:sz="4" w:space="0"/>
            </w:tcBorders>
            <w:shd w:val="clear" w:color="auto" w:fill="auto"/>
            <w:vAlign w:val="center"/>
          </w:tcPr>
          <w:p w14:paraId="79DDD1B0">
            <w:pPr>
              <w:pStyle w:val="2"/>
              <w:ind w:left="0" w:leftChars="0" w:firstLine="0" w:firstLineChars="0"/>
            </w:pPr>
            <w:r>
              <w:rPr>
                <w:rFonts w:hint="eastAsia" w:ascii="宋体" w:hAnsi="宋体" w:cs="宋体"/>
                <w:color w:val="auto"/>
                <w:kern w:val="0"/>
                <w:sz w:val="24"/>
                <w:highlight w:val="none"/>
                <w:lang w:val="en-US" w:eastAsia="zh-CN"/>
              </w:rPr>
              <w:t>1.根据供应商拟投入的</w:t>
            </w:r>
            <w:r>
              <w:rPr>
                <w:rFonts w:hint="eastAsia" w:ascii="宋体" w:hAnsi="宋体" w:cs="宋体"/>
                <w:color w:val="auto"/>
                <w:kern w:val="0"/>
                <w:sz w:val="24"/>
                <w:highlight w:val="none"/>
              </w:rPr>
              <w:t>项目负责人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项目负责人需具有</w:t>
            </w:r>
            <w:r>
              <w:rPr>
                <w:rFonts w:hint="eastAsia" w:ascii="仿宋_GB2312" w:hAnsi="仿宋_GB2312" w:eastAsia="仿宋_GB2312" w:cs="仿宋_GB2312"/>
                <w:color w:val="auto"/>
                <w:kern w:val="0"/>
                <w:sz w:val="24"/>
                <w:highlight w:val="none"/>
                <w:lang w:val="en-US" w:eastAsia="zh-CN"/>
              </w:rPr>
              <w:t>中级社工师</w:t>
            </w:r>
            <w:r>
              <w:rPr>
                <w:rFonts w:hint="eastAsia" w:ascii="仿宋_GB2312" w:hAnsi="仿宋_GB2312" w:cs="仿宋_GB2312"/>
                <w:color w:val="auto"/>
                <w:kern w:val="0"/>
                <w:sz w:val="24"/>
                <w:highlight w:val="none"/>
                <w:lang w:val="en-US" w:eastAsia="zh-CN"/>
              </w:rPr>
              <w:t>或心理咨询师</w:t>
            </w:r>
            <w:r>
              <w:rPr>
                <w:rFonts w:hint="eastAsia" w:ascii="仿宋_GB2312" w:hAnsi="仿宋_GB2312" w:eastAsia="仿宋_GB2312" w:cs="仿宋_GB2312"/>
                <w:color w:val="auto"/>
                <w:kern w:val="0"/>
                <w:sz w:val="24"/>
                <w:highlight w:val="none"/>
                <w:lang w:val="en-US" w:eastAsia="zh-CN"/>
              </w:rPr>
              <w:t>资质</w:t>
            </w:r>
            <w:r>
              <w:rPr>
                <w:rFonts w:hint="eastAsia" w:ascii="宋体" w:hAnsi="宋体" w:cs="宋体"/>
                <w:color w:val="auto"/>
                <w:kern w:val="0"/>
                <w:sz w:val="24"/>
                <w:highlight w:val="none"/>
                <w:lang w:val="en-US" w:eastAsia="zh-CN"/>
              </w:rPr>
              <w:t>以及相关</w:t>
            </w:r>
            <w:r>
              <w:rPr>
                <w:rFonts w:hint="eastAsia" w:ascii="仿宋_GB2312" w:hAnsi="仿宋_GB2312" w:eastAsia="仿宋_GB2312" w:cs="仿宋_GB2312"/>
                <w:color w:val="auto"/>
                <w:kern w:val="0"/>
                <w:sz w:val="24"/>
                <w:highlight w:val="none"/>
                <w:lang w:val="en-US" w:eastAsia="zh-CN"/>
              </w:rPr>
              <w:t>项目管理经验。其中具有2年经验的得</w:t>
            </w:r>
            <w:r>
              <w:rPr>
                <w:rFonts w:hint="eastAsia" w:ascii="仿宋_GB2312" w:hAnsi="仿宋_GB2312" w:cs="仿宋_GB2312"/>
                <w:color w:val="auto"/>
                <w:kern w:val="0"/>
                <w:sz w:val="24"/>
                <w:highlight w:val="none"/>
                <w:lang w:val="en-US" w:eastAsia="zh-CN"/>
              </w:rPr>
              <w:t>2</w:t>
            </w:r>
            <w:r>
              <w:rPr>
                <w:rFonts w:hint="eastAsia" w:ascii="仿宋_GB2312" w:hAnsi="仿宋_GB2312" w:eastAsia="仿宋_GB2312" w:cs="仿宋_GB2312"/>
                <w:color w:val="auto"/>
                <w:kern w:val="0"/>
                <w:sz w:val="24"/>
                <w:highlight w:val="none"/>
                <w:lang w:val="en-US" w:eastAsia="zh-CN"/>
              </w:rPr>
              <w:t>分，3-5年的得</w:t>
            </w:r>
            <w:r>
              <w:rPr>
                <w:rFonts w:hint="eastAsia" w:ascii="仿宋_GB2312" w:hAnsi="仿宋_GB2312" w:cs="仿宋_GB2312"/>
                <w:color w:val="auto"/>
                <w:kern w:val="0"/>
                <w:sz w:val="24"/>
                <w:highlight w:val="none"/>
                <w:lang w:val="en-US" w:eastAsia="zh-CN"/>
              </w:rPr>
              <w:t>5</w:t>
            </w:r>
            <w:r>
              <w:rPr>
                <w:rFonts w:hint="eastAsia" w:ascii="仿宋_GB2312" w:hAnsi="仿宋_GB2312" w:eastAsia="仿宋_GB2312" w:cs="仿宋_GB2312"/>
                <w:color w:val="auto"/>
                <w:kern w:val="0"/>
                <w:sz w:val="24"/>
                <w:highlight w:val="none"/>
                <w:lang w:val="en-US" w:eastAsia="zh-CN"/>
              </w:rPr>
              <w:t>分，6年及以上的得</w:t>
            </w:r>
            <w:r>
              <w:rPr>
                <w:rFonts w:hint="eastAsia" w:ascii="仿宋_GB2312" w:hAnsi="仿宋_GB2312" w:cs="仿宋_GB2312"/>
                <w:color w:val="auto"/>
                <w:kern w:val="0"/>
                <w:sz w:val="24"/>
                <w:highlight w:val="none"/>
                <w:lang w:val="en-US" w:eastAsia="zh-CN"/>
              </w:rPr>
              <w:t>8</w:t>
            </w:r>
            <w:r>
              <w:rPr>
                <w:rFonts w:hint="eastAsia" w:ascii="仿宋_GB2312" w:hAnsi="仿宋_GB2312" w:eastAsia="仿宋_GB2312" w:cs="仿宋_GB2312"/>
                <w:color w:val="auto"/>
                <w:kern w:val="0"/>
                <w:sz w:val="24"/>
                <w:highlight w:val="none"/>
                <w:lang w:val="en-US" w:eastAsia="zh-CN"/>
              </w:rPr>
              <w:t>分。</w:t>
            </w:r>
            <w:r>
              <w:rPr>
                <w:rFonts w:hint="eastAsia" w:ascii="仿宋_GB2312" w:hAnsi="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lang w:val="en-US" w:eastAsia="zh-CN"/>
              </w:rPr>
              <w:t>须提供资质</w:t>
            </w:r>
            <w:r>
              <w:rPr>
                <w:rFonts w:hint="eastAsia" w:ascii="仿宋_GB2312" w:hAnsi="仿宋_GB2312" w:cs="仿宋_GB2312"/>
                <w:color w:val="auto"/>
                <w:kern w:val="0"/>
                <w:sz w:val="24"/>
                <w:highlight w:val="none"/>
                <w:lang w:val="en-US" w:eastAsia="zh-CN"/>
              </w:rPr>
              <w:t>、</w:t>
            </w:r>
            <w:r>
              <w:rPr>
                <w:rFonts w:hint="eastAsia" w:ascii="仿宋_GB2312" w:hAnsi="仿宋_GB2312" w:eastAsia="仿宋_GB2312" w:cs="仿宋_GB2312"/>
                <w:color w:val="auto"/>
                <w:kern w:val="0"/>
                <w:sz w:val="24"/>
                <w:highlight w:val="none"/>
                <w:lang w:val="en-US" w:eastAsia="zh-CN"/>
              </w:rPr>
              <w:t>项目管理经验等证明材料和</w:t>
            </w:r>
            <w:r>
              <w:rPr>
                <w:rFonts w:hint="eastAsia" w:ascii="仿宋_GB2312" w:hAnsi="仿宋_GB2312" w:eastAsia="仿宋_GB2312" w:cs="仿宋_GB2312"/>
                <w:bCs/>
                <w:color w:val="auto"/>
                <w:sz w:val="24"/>
                <w:szCs w:val="24"/>
                <w:highlight w:val="none"/>
              </w:rPr>
              <w:t>响应截止前六个月（不含响应截止当月）中任意一个月供应商为其缴纳养老保险的证明材料复印件</w:t>
            </w:r>
            <w:r>
              <w:rPr>
                <w:rFonts w:hint="eastAsia" w:ascii="仿宋_GB2312" w:hAnsi="仿宋_GB2312" w:eastAsia="仿宋_GB2312" w:cs="仿宋_GB2312"/>
                <w:bCs/>
                <w:color w:val="auto"/>
                <w:sz w:val="24"/>
                <w:szCs w:val="24"/>
                <w:highlight w:val="none"/>
                <w:lang w:eastAsia="zh-CN"/>
              </w:rPr>
              <w:t>。</w:t>
            </w:r>
            <w:r>
              <w:rPr>
                <w:rFonts w:hint="eastAsia" w:ascii="仿宋_GB2312" w:hAnsi="仿宋_GB2312" w:cs="仿宋_GB2312"/>
                <w:color w:val="auto"/>
                <w:kern w:val="0"/>
                <w:sz w:val="24"/>
                <w:highlight w:val="none"/>
                <w:lang w:val="en-US" w:eastAsia="zh-CN"/>
              </w:rPr>
              <w:t>】</w:t>
            </w:r>
          </w:p>
        </w:tc>
        <w:tc>
          <w:tcPr>
            <w:tcW w:w="939" w:type="dxa"/>
            <w:tcBorders>
              <w:top w:val="nil"/>
              <w:left w:val="nil"/>
              <w:bottom w:val="single" w:color="auto" w:sz="4" w:space="0"/>
              <w:right w:val="single" w:color="auto" w:sz="4" w:space="0"/>
            </w:tcBorders>
            <w:shd w:val="clear" w:color="auto" w:fill="auto"/>
            <w:vAlign w:val="center"/>
          </w:tcPr>
          <w:p w14:paraId="77680594">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8</w:t>
            </w:r>
          </w:p>
        </w:tc>
      </w:tr>
      <w:tr w14:paraId="3EAEE936">
        <w:tblPrEx>
          <w:tblCellMar>
            <w:top w:w="0" w:type="dxa"/>
            <w:left w:w="108" w:type="dxa"/>
            <w:bottom w:w="0" w:type="dxa"/>
            <w:right w:w="108" w:type="dxa"/>
          </w:tblCellMar>
        </w:tblPrEx>
        <w:trPr>
          <w:trHeight w:val="1260" w:hRule="atLeast"/>
        </w:trPr>
        <w:tc>
          <w:tcPr>
            <w:tcW w:w="926" w:type="dxa"/>
            <w:vMerge w:val="continue"/>
            <w:tcBorders>
              <w:left w:val="single" w:color="auto" w:sz="4" w:space="0"/>
              <w:right w:val="single" w:color="auto" w:sz="4" w:space="0"/>
            </w:tcBorders>
            <w:shd w:val="clear" w:color="auto" w:fill="auto"/>
            <w:textDirection w:val="tbRlV"/>
            <w:vAlign w:val="center"/>
          </w:tcPr>
          <w:p w14:paraId="779C0DBE">
            <w:pPr>
              <w:widowControl/>
              <w:jc w:val="center"/>
              <w:rPr>
                <w:rFonts w:hint="eastAsia" w:ascii="宋体" w:hAnsi="宋体" w:cs="宋体"/>
                <w:b/>
                <w:color w:val="000000"/>
                <w:kern w:val="0"/>
                <w:sz w:val="24"/>
              </w:rPr>
            </w:pPr>
          </w:p>
        </w:tc>
        <w:tc>
          <w:tcPr>
            <w:tcW w:w="1464" w:type="dxa"/>
            <w:vMerge w:val="continue"/>
            <w:tcBorders>
              <w:left w:val="nil"/>
              <w:right w:val="single" w:color="auto" w:sz="4" w:space="0"/>
            </w:tcBorders>
            <w:shd w:val="clear" w:color="auto" w:fill="auto"/>
            <w:vAlign w:val="center"/>
          </w:tcPr>
          <w:p w14:paraId="1AC088F1">
            <w:pPr>
              <w:widowControl/>
              <w:jc w:val="center"/>
              <w:rPr>
                <w:rFonts w:hint="eastAsia" w:ascii="宋体" w:hAnsi="宋体" w:cs="宋体"/>
                <w:b/>
                <w:color w:val="000000"/>
                <w:kern w:val="0"/>
                <w:sz w:val="24"/>
              </w:rPr>
            </w:pPr>
          </w:p>
        </w:tc>
        <w:tc>
          <w:tcPr>
            <w:tcW w:w="5631" w:type="dxa"/>
            <w:tcBorders>
              <w:top w:val="nil"/>
              <w:left w:val="nil"/>
              <w:bottom w:val="single" w:color="auto" w:sz="4" w:space="0"/>
              <w:right w:val="single" w:color="auto" w:sz="4" w:space="0"/>
            </w:tcBorders>
            <w:shd w:val="clear" w:color="auto" w:fill="auto"/>
            <w:vAlign w:val="center"/>
          </w:tcPr>
          <w:p w14:paraId="03908866">
            <w:pPr>
              <w:widowControl/>
              <w:jc w:val="left"/>
              <w:rPr>
                <w:rFonts w:hint="default" w:ascii="宋体" w:hAnsi="宋体" w:eastAsia="宋体" w:cs="宋体"/>
                <w:color w:val="000000"/>
                <w:kern w:val="0"/>
                <w:sz w:val="24"/>
                <w:lang w:val="en-US" w:eastAsia="zh-CN"/>
              </w:rPr>
            </w:pPr>
            <w:r>
              <w:rPr>
                <w:rFonts w:hint="eastAsia" w:ascii="仿宋_GB2312" w:hAnsi="仿宋_GB2312" w:eastAsia="仿宋_GB2312" w:cs="仿宋_GB2312"/>
                <w:color w:val="auto"/>
                <w:kern w:val="0"/>
                <w:sz w:val="24"/>
                <w:highlight w:val="none"/>
                <w:lang w:val="en-US" w:eastAsia="zh-CN" w:bidi="ar-SA"/>
              </w:rPr>
              <w:t>2.根据供应商拟投入的本项目团队成员有3人的得1分，3-5人的得3分，6人及以上的得5分。（须提供项目成员名单）</w:t>
            </w:r>
          </w:p>
        </w:tc>
        <w:tc>
          <w:tcPr>
            <w:tcW w:w="939" w:type="dxa"/>
            <w:tcBorders>
              <w:top w:val="nil"/>
              <w:left w:val="nil"/>
              <w:bottom w:val="single" w:color="auto" w:sz="4" w:space="0"/>
              <w:right w:val="single" w:color="auto" w:sz="4" w:space="0"/>
            </w:tcBorders>
            <w:shd w:val="clear" w:color="auto" w:fill="auto"/>
            <w:vAlign w:val="center"/>
          </w:tcPr>
          <w:p w14:paraId="42882E32">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r>
      <w:tr w14:paraId="779E72DF">
        <w:tblPrEx>
          <w:tblCellMar>
            <w:top w:w="0" w:type="dxa"/>
            <w:left w:w="108" w:type="dxa"/>
            <w:bottom w:w="0" w:type="dxa"/>
            <w:right w:w="108" w:type="dxa"/>
          </w:tblCellMar>
        </w:tblPrEx>
        <w:trPr>
          <w:trHeight w:val="1280" w:hRule="atLeast"/>
        </w:trPr>
        <w:tc>
          <w:tcPr>
            <w:tcW w:w="926" w:type="dxa"/>
            <w:vMerge w:val="continue"/>
            <w:tcBorders>
              <w:left w:val="single" w:color="auto" w:sz="4" w:space="0"/>
              <w:right w:val="single" w:color="auto" w:sz="4" w:space="0"/>
            </w:tcBorders>
            <w:shd w:val="clear" w:color="auto" w:fill="auto"/>
            <w:textDirection w:val="tbRlV"/>
            <w:vAlign w:val="center"/>
          </w:tcPr>
          <w:p w14:paraId="2A821133">
            <w:pPr>
              <w:widowControl/>
              <w:jc w:val="center"/>
              <w:rPr>
                <w:rFonts w:hint="eastAsia" w:ascii="宋体" w:hAnsi="宋体" w:cs="宋体"/>
                <w:b/>
                <w:color w:val="000000"/>
                <w:kern w:val="0"/>
                <w:sz w:val="24"/>
              </w:rPr>
            </w:pPr>
          </w:p>
        </w:tc>
        <w:tc>
          <w:tcPr>
            <w:tcW w:w="1464" w:type="dxa"/>
            <w:vMerge w:val="continue"/>
            <w:tcBorders>
              <w:left w:val="nil"/>
              <w:right w:val="single" w:color="auto" w:sz="4" w:space="0"/>
            </w:tcBorders>
            <w:shd w:val="clear" w:color="auto" w:fill="auto"/>
            <w:vAlign w:val="center"/>
          </w:tcPr>
          <w:p w14:paraId="02A62FA2">
            <w:pPr>
              <w:widowControl/>
              <w:jc w:val="center"/>
              <w:rPr>
                <w:rFonts w:hint="eastAsia" w:ascii="宋体" w:hAnsi="宋体" w:cs="宋体"/>
                <w:b/>
                <w:color w:val="000000"/>
                <w:kern w:val="0"/>
                <w:sz w:val="24"/>
              </w:rPr>
            </w:pPr>
          </w:p>
        </w:tc>
        <w:tc>
          <w:tcPr>
            <w:tcW w:w="5631" w:type="dxa"/>
            <w:tcBorders>
              <w:top w:val="nil"/>
              <w:left w:val="nil"/>
              <w:bottom w:val="single" w:color="auto" w:sz="4" w:space="0"/>
              <w:right w:val="single" w:color="auto" w:sz="4" w:space="0"/>
            </w:tcBorders>
            <w:shd w:val="clear" w:color="auto" w:fill="auto"/>
            <w:vAlign w:val="center"/>
          </w:tcPr>
          <w:p w14:paraId="40B74BCC">
            <w:pPr>
              <w:widowControl/>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r>
              <w:rPr>
                <w:rFonts w:hint="eastAsia" w:ascii="仿宋_GB2312" w:hAnsi="仿宋_GB2312" w:eastAsia="仿宋_GB2312" w:cs="仿宋_GB2312"/>
                <w:color w:val="auto"/>
                <w:kern w:val="0"/>
                <w:sz w:val="24"/>
                <w:highlight w:val="none"/>
                <w:lang w:val="en-US" w:eastAsia="zh-CN" w:bidi="ar-SA"/>
              </w:rPr>
              <w:t>.根据供应商拟投入的本项目团队成员有兼具法律、社会工作、家庭教育、婚姻家庭咨询专业的，兼具专业的成员每提供1人得1分，满分5分。（须提供资质证明材料）</w:t>
            </w:r>
          </w:p>
        </w:tc>
        <w:tc>
          <w:tcPr>
            <w:tcW w:w="939" w:type="dxa"/>
            <w:tcBorders>
              <w:top w:val="nil"/>
              <w:left w:val="nil"/>
              <w:bottom w:val="single" w:color="auto" w:sz="4" w:space="0"/>
              <w:right w:val="single" w:color="auto" w:sz="4" w:space="0"/>
            </w:tcBorders>
            <w:shd w:val="clear" w:color="auto" w:fill="auto"/>
            <w:vAlign w:val="center"/>
          </w:tcPr>
          <w:p w14:paraId="79FCDDD9">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r>
      <w:tr w14:paraId="2AFAD7CA">
        <w:tblPrEx>
          <w:tblCellMar>
            <w:top w:w="0" w:type="dxa"/>
            <w:left w:w="108" w:type="dxa"/>
            <w:bottom w:w="0" w:type="dxa"/>
            <w:right w:w="108" w:type="dxa"/>
          </w:tblCellMar>
        </w:tblPrEx>
        <w:trPr>
          <w:trHeight w:val="1280" w:hRule="atLeast"/>
        </w:trPr>
        <w:tc>
          <w:tcPr>
            <w:tcW w:w="926" w:type="dxa"/>
            <w:vMerge w:val="continue"/>
            <w:tcBorders>
              <w:left w:val="single" w:color="auto" w:sz="4" w:space="0"/>
              <w:right w:val="single" w:color="auto" w:sz="4" w:space="0"/>
            </w:tcBorders>
            <w:shd w:val="clear" w:color="auto" w:fill="auto"/>
            <w:textDirection w:val="tbRlV"/>
            <w:vAlign w:val="center"/>
          </w:tcPr>
          <w:p w14:paraId="5829A901">
            <w:pPr>
              <w:widowControl/>
              <w:jc w:val="center"/>
              <w:rPr>
                <w:rFonts w:hint="eastAsia" w:ascii="宋体" w:hAnsi="宋体" w:eastAsia="宋体" w:cs="宋体"/>
                <w:b/>
                <w:color w:val="000000"/>
                <w:kern w:val="0"/>
                <w:sz w:val="24"/>
                <w:lang w:val="en-US" w:eastAsia="zh-CN"/>
              </w:rPr>
            </w:pPr>
            <w:r>
              <w:rPr>
                <w:rFonts w:hint="eastAsia" w:ascii="宋体" w:hAnsi="宋体" w:cs="宋体"/>
                <w:b/>
                <w:color w:val="000000"/>
                <w:kern w:val="0"/>
                <w:sz w:val="24"/>
                <w:lang w:val="en-US" w:eastAsia="zh-CN"/>
              </w:rPr>
              <w:t>4</w:t>
            </w:r>
          </w:p>
        </w:tc>
        <w:tc>
          <w:tcPr>
            <w:tcW w:w="1464" w:type="dxa"/>
            <w:vMerge w:val="continue"/>
            <w:tcBorders>
              <w:left w:val="nil"/>
              <w:right w:val="single" w:color="auto" w:sz="4" w:space="0"/>
            </w:tcBorders>
            <w:shd w:val="clear" w:color="auto" w:fill="auto"/>
            <w:vAlign w:val="center"/>
          </w:tcPr>
          <w:p w14:paraId="71F83764">
            <w:pPr>
              <w:widowControl/>
              <w:jc w:val="center"/>
              <w:rPr>
                <w:rFonts w:hint="eastAsia" w:ascii="宋体" w:hAnsi="宋体" w:cs="宋体"/>
                <w:b/>
                <w:color w:val="000000"/>
                <w:kern w:val="0"/>
                <w:sz w:val="24"/>
              </w:rPr>
            </w:pPr>
          </w:p>
        </w:tc>
        <w:tc>
          <w:tcPr>
            <w:tcW w:w="5631" w:type="dxa"/>
            <w:tcBorders>
              <w:top w:val="nil"/>
              <w:left w:val="nil"/>
              <w:bottom w:val="single" w:color="auto" w:sz="4" w:space="0"/>
              <w:right w:val="single" w:color="auto" w:sz="4" w:space="0"/>
            </w:tcBorders>
            <w:shd w:val="clear" w:color="auto" w:fill="auto"/>
            <w:vAlign w:val="center"/>
          </w:tcPr>
          <w:p w14:paraId="20060EAF">
            <w:pPr>
              <w:widowControl/>
              <w:jc w:val="left"/>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4.</w:t>
            </w:r>
            <w:r>
              <w:rPr>
                <w:rFonts w:hint="eastAsia" w:ascii="仿宋_GB2312" w:hAnsi="仿宋_GB2312" w:eastAsia="仿宋_GB2312" w:cs="仿宋_GB2312"/>
                <w:color w:val="auto"/>
                <w:kern w:val="0"/>
                <w:sz w:val="24"/>
                <w:highlight w:val="none"/>
                <w:lang w:val="en-US" w:eastAsia="zh-CN" w:bidi="ar-SA"/>
              </w:rPr>
              <w:t>根据供应商拟投入的本项目团队成员有婚姻家庭纠纷调解经验的情况评分，有1年以上调解经验的成员每提供1人得1分，满分5分。（须提供调解经验证明材料）</w:t>
            </w:r>
          </w:p>
        </w:tc>
        <w:tc>
          <w:tcPr>
            <w:tcW w:w="939" w:type="dxa"/>
            <w:tcBorders>
              <w:top w:val="nil"/>
              <w:left w:val="nil"/>
              <w:bottom w:val="single" w:color="auto" w:sz="4" w:space="0"/>
              <w:right w:val="single" w:color="auto" w:sz="4" w:space="0"/>
            </w:tcBorders>
            <w:shd w:val="clear" w:color="auto" w:fill="auto"/>
            <w:vAlign w:val="center"/>
          </w:tcPr>
          <w:p w14:paraId="061EAFE6">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5</w:t>
            </w:r>
          </w:p>
        </w:tc>
      </w:tr>
      <w:tr w14:paraId="03CF0F0D">
        <w:tblPrEx>
          <w:tblCellMar>
            <w:top w:w="0" w:type="dxa"/>
            <w:left w:w="108" w:type="dxa"/>
            <w:bottom w:w="0" w:type="dxa"/>
            <w:right w:w="108" w:type="dxa"/>
          </w:tblCellMar>
        </w:tblPrEx>
        <w:trPr>
          <w:trHeight w:val="1280" w:hRule="atLeast"/>
        </w:trPr>
        <w:tc>
          <w:tcPr>
            <w:tcW w:w="926" w:type="dxa"/>
            <w:vMerge w:val="continue"/>
            <w:tcBorders>
              <w:left w:val="single" w:color="auto" w:sz="4" w:space="0"/>
              <w:right w:val="single" w:color="auto" w:sz="4" w:space="0"/>
            </w:tcBorders>
            <w:shd w:val="clear" w:color="auto" w:fill="auto"/>
            <w:textDirection w:val="tbRlV"/>
            <w:vAlign w:val="center"/>
          </w:tcPr>
          <w:p w14:paraId="35E029EE">
            <w:pPr>
              <w:widowControl/>
              <w:jc w:val="center"/>
              <w:rPr>
                <w:rFonts w:hint="eastAsia" w:ascii="宋体" w:hAnsi="宋体" w:cs="宋体"/>
                <w:b/>
                <w:color w:val="000000"/>
                <w:kern w:val="0"/>
                <w:sz w:val="24"/>
              </w:rPr>
            </w:pPr>
          </w:p>
        </w:tc>
        <w:tc>
          <w:tcPr>
            <w:tcW w:w="1464" w:type="dxa"/>
            <w:vMerge w:val="continue"/>
            <w:tcBorders>
              <w:left w:val="nil"/>
              <w:bottom w:val="single" w:color="auto" w:sz="4" w:space="0"/>
              <w:right w:val="single" w:color="auto" w:sz="4" w:space="0"/>
            </w:tcBorders>
            <w:shd w:val="clear" w:color="auto" w:fill="auto"/>
            <w:vAlign w:val="center"/>
          </w:tcPr>
          <w:p w14:paraId="1C3DABC8">
            <w:pPr>
              <w:widowControl/>
              <w:jc w:val="center"/>
              <w:rPr>
                <w:rFonts w:hint="eastAsia" w:ascii="宋体" w:hAnsi="宋体" w:cs="宋体"/>
                <w:b/>
                <w:color w:val="000000"/>
                <w:kern w:val="0"/>
                <w:sz w:val="24"/>
              </w:rPr>
            </w:pPr>
          </w:p>
        </w:tc>
        <w:tc>
          <w:tcPr>
            <w:tcW w:w="5631" w:type="dxa"/>
            <w:tcBorders>
              <w:top w:val="nil"/>
              <w:left w:val="nil"/>
              <w:bottom w:val="single" w:color="auto" w:sz="4" w:space="0"/>
              <w:right w:val="single" w:color="auto" w:sz="4" w:space="0"/>
            </w:tcBorders>
            <w:shd w:val="clear" w:color="auto" w:fill="auto"/>
            <w:vAlign w:val="center"/>
          </w:tcPr>
          <w:p w14:paraId="59ADC55E">
            <w:pPr>
              <w:widowControl/>
              <w:jc w:val="left"/>
              <w:rPr>
                <w:rFonts w:hint="default" w:ascii="宋体" w:hAnsi="宋体" w:cs="宋体"/>
                <w:color w:val="000000"/>
                <w:kern w:val="0"/>
                <w:sz w:val="24"/>
                <w:lang w:val="en-US" w:eastAsia="zh-CN"/>
              </w:rPr>
            </w:pPr>
            <w:r>
              <w:rPr>
                <w:rFonts w:hint="eastAsia" w:ascii="仿宋_GB2312" w:hAnsi="仿宋_GB2312" w:eastAsia="仿宋_GB2312" w:cs="仿宋_GB2312"/>
                <w:color w:val="auto"/>
                <w:kern w:val="0"/>
                <w:sz w:val="24"/>
                <w:highlight w:val="none"/>
                <w:lang w:val="en-US" w:eastAsia="zh-CN" w:bidi="ar-SA"/>
              </w:rPr>
              <w:t>5.根据供应商提供的成员分工方案，由磋商小组进行评分：项目成员分工明确的得2分，无分工或者分工不明确的不得分。（须提供具体分工安排表）</w:t>
            </w:r>
          </w:p>
        </w:tc>
        <w:tc>
          <w:tcPr>
            <w:tcW w:w="939" w:type="dxa"/>
            <w:tcBorders>
              <w:top w:val="nil"/>
              <w:left w:val="nil"/>
              <w:bottom w:val="single" w:color="auto" w:sz="4" w:space="0"/>
              <w:right w:val="single" w:color="auto" w:sz="4" w:space="0"/>
            </w:tcBorders>
            <w:shd w:val="clear" w:color="auto" w:fill="auto"/>
            <w:vAlign w:val="center"/>
          </w:tcPr>
          <w:p w14:paraId="4847E6C7">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r w14:paraId="3777A8D3">
        <w:tblPrEx>
          <w:tblCellMar>
            <w:top w:w="0" w:type="dxa"/>
            <w:left w:w="108" w:type="dxa"/>
            <w:bottom w:w="0" w:type="dxa"/>
            <w:right w:w="108" w:type="dxa"/>
          </w:tblCellMar>
        </w:tblPrEx>
        <w:trPr>
          <w:trHeight w:val="1005" w:hRule="atLeast"/>
        </w:trPr>
        <w:tc>
          <w:tcPr>
            <w:tcW w:w="926" w:type="dxa"/>
            <w:vMerge w:val="continue"/>
            <w:tcBorders>
              <w:top w:val="nil"/>
              <w:left w:val="single" w:color="auto" w:sz="4" w:space="0"/>
              <w:bottom w:val="single" w:color="auto" w:sz="4" w:space="0"/>
              <w:right w:val="single" w:color="auto" w:sz="4" w:space="0"/>
            </w:tcBorders>
            <w:vAlign w:val="center"/>
          </w:tcPr>
          <w:p w14:paraId="0D8133F6">
            <w:pPr>
              <w:widowControl/>
              <w:jc w:val="left"/>
              <w:rPr>
                <w:rFonts w:ascii="宋体" w:hAnsi="宋体" w:cs="宋体"/>
                <w:color w:val="000000"/>
                <w:kern w:val="0"/>
                <w:sz w:val="24"/>
              </w:rPr>
            </w:pPr>
          </w:p>
        </w:tc>
        <w:tc>
          <w:tcPr>
            <w:tcW w:w="1464" w:type="dxa"/>
            <w:tcBorders>
              <w:top w:val="single" w:color="auto" w:sz="4" w:space="0"/>
              <w:left w:val="nil"/>
              <w:bottom w:val="single" w:color="auto" w:sz="4" w:space="0"/>
              <w:right w:val="single" w:color="auto" w:sz="4" w:space="0"/>
            </w:tcBorders>
            <w:shd w:val="clear" w:color="auto" w:fill="auto"/>
            <w:vAlign w:val="center"/>
          </w:tcPr>
          <w:p w14:paraId="21728D15">
            <w:pPr>
              <w:widowControl/>
              <w:jc w:val="center"/>
              <w:rPr>
                <w:rFonts w:hint="eastAsia" w:ascii="宋体" w:hAnsi="宋体" w:cs="宋体"/>
                <w:b/>
                <w:color w:val="000000"/>
                <w:kern w:val="0"/>
                <w:sz w:val="24"/>
              </w:rPr>
            </w:pPr>
            <w:r>
              <w:rPr>
                <w:rFonts w:hint="eastAsia" w:ascii="宋体" w:hAnsi="宋体" w:cs="宋体"/>
                <w:b/>
                <w:color w:val="000000"/>
                <w:kern w:val="0"/>
                <w:sz w:val="24"/>
                <w:lang w:val="en-US" w:eastAsia="zh-CN"/>
              </w:rPr>
              <w:t>机构</w:t>
            </w:r>
            <w:r>
              <w:rPr>
                <w:rFonts w:hint="eastAsia" w:ascii="宋体" w:hAnsi="宋体" w:cs="宋体"/>
                <w:b/>
                <w:color w:val="000000"/>
                <w:kern w:val="0"/>
                <w:sz w:val="24"/>
              </w:rPr>
              <w:t>管理</w:t>
            </w:r>
          </w:p>
          <w:p w14:paraId="03F2F7B5">
            <w:pPr>
              <w:pStyle w:val="6"/>
              <w:jc w:val="center"/>
              <w:rPr>
                <w:rFonts w:hint="default" w:eastAsia="宋体"/>
                <w:lang w:val="en-US" w:eastAsia="zh-CN"/>
              </w:rPr>
            </w:pPr>
            <w:r>
              <w:rPr>
                <w:rFonts w:hint="eastAsia" w:ascii="宋体" w:hAnsi="宋体" w:cs="宋体"/>
                <w:b/>
                <w:color w:val="000000"/>
                <w:kern w:val="0"/>
                <w:sz w:val="24"/>
                <w:lang w:val="en-US" w:eastAsia="zh-CN"/>
              </w:rPr>
              <w:t>（5分）</w:t>
            </w:r>
          </w:p>
        </w:tc>
        <w:tc>
          <w:tcPr>
            <w:tcW w:w="5631" w:type="dxa"/>
            <w:tcBorders>
              <w:top w:val="nil"/>
              <w:left w:val="nil"/>
              <w:bottom w:val="single" w:color="auto" w:sz="4" w:space="0"/>
              <w:right w:val="single" w:color="auto" w:sz="4" w:space="0"/>
            </w:tcBorders>
            <w:shd w:val="clear" w:color="auto" w:fill="auto"/>
            <w:vAlign w:val="center"/>
          </w:tcPr>
          <w:p w14:paraId="6A5481FB">
            <w:pPr>
              <w:widowControl/>
              <w:jc w:val="left"/>
              <w:rPr>
                <w:rFonts w:hint="default" w:ascii="宋体" w:hAnsi="宋体" w:cs="宋体"/>
                <w:color w:val="000000"/>
                <w:kern w:val="0"/>
                <w:sz w:val="24"/>
                <w:lang w:val="en-US"/>
              </w:rPr>
            </w:pPr>
            <w:r>
              <w:rPr>
                <w:rFonts w:hint="eastAsia" w:ascii="仿宋_GB2312" w:hAnsi="仿宋_GB2312" w:eastAsia="仿宋_GB2312" w:cs="仿宋_GB2312"/>
                <w:color w:val="auto"/>
                <w:kern w:val="0"/>
                <w:sz w:val="24"/>
                <w:highlight w:val="none"/>
                <w:lang w:val="en-US" w:eastAsia="zh-CN" w:bidi="ar-SA"/>
              </w:rPr>
              <w:t>机构内部管理和监督制度健全。提供机构规章制度、员工成长、项目运作督导、内部监督、财务管理等证明材料，根据证明情况予以评分。每种制度得1分，满分5分。</w:t>
            </w:r>
          </w:p>
        </w:tc>
        <w:tc>
          <w:tcPr>
            <w:tcW w:w="939" w:type="dxa"/>
            <w:tcBorders>
              <w:top w:val="nil"/>
              <w:left w:val="nil"/>
              <w:bottom w:val="single" w:color="auto" w:sz="4" w:space="0"/>
              <w:right w:val="single" w:color="auto" w:sz="4" w:space="0"/>
            </w:tcBorders>
            <w:shd w:val="clear" w:color="auto" w:fill="auto"/>
            <w:vAlign w:val="center"/>
          </w:tcPr>
          <w:p w14:paraId="7EF9C7B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r>
      <w:tr w14:paraId="315B0ABB">
        <w:tblPrEx>
          <w:tblCellMar>
            <w:top w:w="0" w:type="dxa"/>
            <w:left w:w="108" w:type="dxa"/>
            <w:bottom w:w="0" w:type="dxa"/>
            <w:right w:w="108" w:type="dxa"/>
          </w:tblCellMar>
        </w:tblPrEx>
        <w:trPr>
          <w:trHeight w:val="1005" w:hRule="atLeast"/>
        </w:trPr>
        <w:tc>
          <w:tcPr>
            <w:tcW w:w="926" w:type="dxa"/>
            <w:vMerge w:val="continue"/>
            <w:tcBorders>
              <w:top w:val="nil"/>
              <w:left w:val="single" w:color="auto" w:sz="4" w:space="0"/>
              <w:bottom w:val="single" w:color="auto" w:sz="4" w:space="0"/>
              <w:right w:val="single" w:color="auto" w:sz="4" w:space="0"/>
            </w:tcBorders>
            <w:vAlign w:val="center"/>
          </w:tcPr>
          <w:p w14:paraId="719616C0">
            <w:pPr>
              <w:widowControl/>
              <w:jc w:val="left"/>
              <w:rPr>
                <w:rFonts w:ascii="宋体" w:hAnsi="宋体" w:cs="宋体"/>
                <w:color w:val="000000"/>
                <w:kern w:val="0"/>
                <w:sz w:val="24"/>
              </w:rPr>
            </w:pPr>
          </w:p>
        </w:tc>
        <w:tc>
          <w:tcPr>
            <w:tcW w:w="1464" w:type="dxa"/>
            <w:tcBorders>
              <w:top w:val="single" w:color="auto" w:sz="4" w:space="0"/>
              <w:left w:val="nil"/>
              <w:bottom w:val="single" w:color="auto" w:sz="4" w:space="0"/>
              <w:right w:val="single" w:color="auto" w:sz="4" w:space="0"/>
            </w:tcBorders>
            <w:shd w:val="clear" w:color="auto" w:fill="auto"/>
            <w:vAlign w:val="center"/>
          </w:tcPr>
          <w:p w14:paraId="3A853654">
            <w:pPr>
              <w:widowControl/>
              <w:jc w:val="center"/>
              <w:rPr>
                <w:rFonts w:hint="eastAsia" w:ascii="宋体" w:hAnsi="宋体" w:cs="宋体"/>
                <w:b/>
                <w:color w:val="000000"/>
                <w:kern w:val="0"/>
                <w:sz w:val="24"/>
              </w:rPr>
            </w:pPr>
            <w:r>
              <w:rPr>
                <w:rFonts w:hint="eastAsia" w:ascii="宋体" w:hAnsi="宋体" w:cs="宋体"/>
                <w:b/>
                <w:color w:val="000000"/>
                <w:kern w:val="0"/>
                <w:sz w:val="24"/>
              </w:rPr>
              <w:t>团队项</w:t>
            </w:r>
          </w:p>
          <w:p w14:paraId="2DC93479">
            <w:pPr>
              <w:widowControl/>
              <w:jc w:val="center"/>
              <w:rPr>
                <w:rFonts w:hint="eastAsia" w:ascii="宋体" w:hAnsi="宋体" w:cs="宋体"/>
                <w:b/>
                <w:color w:val="000000"/>
                <w:kern w:val="0"/>
                <w:sz w:val="24"/>
              </w:rPr>
            </w:pPr>
            <w:r>
              <w:rPr>
                <w:rFonts w:hint="eastAsia" w:ascii="宋体" w:hAnsi="宋体" w:cs="宋体"/>
                <w:b/>
                <w:color w:val="000000"/>
                <w:kern w:val="0"/>
                <w:sz w:val="24"/>
              </w:rPr>
              <w:t>目经验</w:t>
            </w:r>
          </w:p>
          <w:p w14:paraId="40BD9429">
            <w:pPr>
              <w:pStyle w:val="6"/>
              <w:jc w:val="center"/>
              <w:rPr>
                <w:rFonts w:hint="eastAsia" w:eastAsia="宋体"/>
                <w:lang w:eastAsia="zh-CN"/>
              </w:rPr>
            </w:pPr>
            <w:r>
              <w:rPr>
                <w:rFonts w:hint="eastAsia" w:ascii="宋体" w:hAnsi="宋体" w:cs="宋体"/>
                <w:b/>
                <w:color w:val="000000"/>
                <w:kern w:val="0"/>
                <w:sz w:val="24"/>
                <w:lang w:eastAsia="zh-CN"/>
              </w:rPr>
              <w:t>（</w:t>
            </w:r>
            <w:r>
              <w:rPr>
                <w:rFonts w:hint="eastAsia" w:ascii="宋体" w:hAnsi="宋体" w:cs="宋体"/>
                <w:b/>
                <w:color w:val="000000"/>
                <w:kern w:val="0"/>
                <w:sz w:val="24"/>
                <w:lang w:val="en-US" w:eastAsia="zh-CN"/>
              </w:rPr>
              <w:t>10</w:t>
            </w:r>
            <w:r>
              <w:rPr>
                <w:rFonts w:hint="eastAsia" w:ascii="宋体" w:hAnsi="宋体" w:cs="宋体"/>
                <w:b/>
                <w:color w:val="000000"/>
                <w:kern w:val="0"/>
                <w:sz w:val="24"/>
                <w:lang w:eastAsia="zh-CN"/>
              </w:rPr>
              <w:t>）</w:t>
            </w:r>
          </w:p>
        </w:tc>
        <w:tc>
          <w:tcPr>
            <w:tcW w:w="5631" w:type="dxa"/>
            <w:tcBorders>
              <w:top w:val="nil"/>
              <w:left w:val="nil"/>
              <w:bottom w:val="single" w:color="auto" w:sz="4" w:space="0"/>
              <w:right w:val="single" w:color="auto" w:sz="4" w:space="0"/>
            </w:tcBorders>
            <w:shd w:val="clear" w:color="auto" w:fill="auto"/>
            <w:vAlign w:val="center"/>
          </w:tcPr>
          <w:p w14:paraId="7A74DAA3">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000000"/>
                <w:kern w:val="0"/>
                <w:sz w:val="24"/>
              </w:rPr>
            </w:pPr>
            <w:r>
              <w:rPr>
                <w:rFonts w:hint="eastAsia" w:ascii="仿宋_GB2312" w:hAnsi="仿宋_GB2312" w:eastAsia="仿宋_GB2312" w:cs="仿宋_GB2312"/>
                <w:color w:val="auto"/>
                <w:kern w:val="0"/>
                <w:sz w:val="24"/>
                <w:highlight w:val="none"/>
                <w:lang w:val="en-US" w:eastAsia="zh-CN" w:bidi="ar-SA"/>
              </w:rPr>
              <w:t>提供自2020年1月1日至响应文件递交截止时间前（以合同签订日期为准）执行的同类项目合同实施情况佐证材料：每提供1个项目实施佐证材料得2分，满分10分。</w:t>
            </w:r>
          </w:p>
        </w:tc>
        <w:tc>
          <w:tcPr>
            <w:tcW w:w="939" w:type="dxa"/>
            <w:tcBorders>
              <w:top w:val="nil"/>
              <w:left w:val="nil"/>
              <w:bottom w:val="single" w:color="auto" w:sz="4" w:space="0"/>
              <w:right w:val="single" w:color="auto" w:sz="4" w:space="0"/>
            </w:tcBorders>
            <w:shd w:val="clear" w:color="auto" w:fill="auto"/>
            <w:vAlign w:val="center"/>
          </w:tcPr>
          <w:p w14:paraId="638FB39D">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r>
      <w:tr w14:paraId="16EE108C">
        <w:tblPrEx>
          <w:tblCellMar>
            <w:top w:w="0" w:type="dxa"/>
            <w:left w:w="108" w:type="dxa"/>
            <w:bottom w:w="0" w:type="dxa"/>
            <w:right w:w="108" w:type="dxa"/>
          </w:tblCellMar>
        </w:tblPrEx>
        <w:trPr>
          <w:trHeight w:val="1560" w:hRule="atLeast"/>
        </w:trPr>
        <w:tc>
          <w:tcPr>
            <w:tcW w:w="926" w:type="dxa"/>
            <w:vMerge w:val="continue"/>
            <w:tcBorders>
              <w:top w:val="nil"/>
              <w:left w:val="single" w:color="auto" w:sz="4" w:space="0"/>
              <w:bottom w:val="single" w:color="auto" w:sz="4" w:space="0"/>
              <w:right w:val="single" w:color="auto" w:sz="4" w:space="0"/>
            </w:tcBorders>
            <w:vAlign w:val="center"/>
          </w:tcPr>
          <w:p w14:paraId="3665E54B">
            <w:pPr>
              <w:widowControl/>
              <w:jc w:val="left"/>
              <w:rPr>
                <w:rFonts w:ascii="宋体" w:hAnsi="宋体" w:cs="宋体"/>
                <w:color w:val="000000"/>
                <w:kern w:val="0"/>
                <w:sz w:val="24"/>
              </w:rPr>
            </w:pPr>
          </w:p>
        </w:tc>
        <w:tc>
          <w:tcPr>
            <w:tcW w:w="1464" w:type="dxa"/>
            <w:tcBorders>
              <w:top w:val="single" w:color="auto" w:sz="4" w:space="0"/>
              <w:left w:val="nil"/>
              <w:bottom w:val="single" w:color="auto" w:sz="4" w:space="0"/>
              <w:right w:val="single" w:color="auto" w:sz="4" w:space="0"/>
            </w:tcBorders>
            <w:shd w:val="clear" w:color="auto" w:fill="auto"/>
            <w:vAlign w:val="center"/>
          </w:tcPr>
          <w:p w14:paraId="0D2E2CF1">
            <w:pPr>
              <w:widowControl/>
              <w:jc w:val="center"/>
              <w:rPr>
                <w:rFonts w:hint="eastAsia" w:ascii="宋体" w:hAnsi="宋体" w:cs="宋体"/>
                <w:b/>
                <w:color w:val="000000"/>
                <w:kern w:val="0"/>
                <w:sz w:val="24"/>
                <w:lang w:val="en-US" w:eastAsia="zh-CN"/>
              </w:rPr>
            </w:pPr>
            <w:r>
              <w:rPr>
                <w:rFonts w:hint="eastAsia" w:ascii="宋体" w:hAnsi="宋体" w:cs="宋体"/>
                <w:b/>
                <w:color w:val="000000"/>
                <w:kern w:val="0"/>
                <w:sz w:val="24"/>
                <w:lang w:val="en-US" w:eastAsia="zh-CN"/>
              </w:rPr>
              <w:t>团队执</w:t>
            </w:r>
          </w:p>
          <w:p w14:paraId="4456F0AE">
            <w:pPr>
              <w:widowControl/>
              <w:jc w:val="center"/>
              <w:rPr>
                <w:rFonts w:hint="eastAsia" w:ascii="宋体" w:hAnsi="宋体" w:cs="宋体"/>
                <w:b/>
                <w:color w:val="000000"/>
                <w:kern w:val="0"/>
                <w:sz w:val="24"/>
                <w:lang w:val="en-US" w:eastAsia="zh-CN"/>
              </w:rPr>
            </w:pPr>
            <w:r>
              <w:rPr>
                <w:rFonts w:hint="eastAsia" w:ascii="宋体" w:hAnsi="宋体" w:cs="宋体"/>
                <w:b/>
                <w:color w:val="000000"/>
                <w:kern w:val="0"/>
                <w:sz w:val="24"/>
                <w:lang w:val="en-US" w:eastAsia="zh-CN"/>
              </w:rPr>
              <w:t>行力情况</w:t>
            </w:r>
          </w:p>
          <w:p w14:paraId="5C23108D">
            <w:pPr>
              <w:pStyle w:val="6"/>
              <w:jc w:val="center"/>
            </w:pPr>
            <w:r>
              <w:rPr>
                <w:rFonts w:hint="eastAsia" w:ascii="宋体" w:hAnsi="宋体" w:cs="宋体"/>
                <w:b/>
                <w:color w:val="000000"/>
                <w:kern w:val="0"/>
                <w:sz w:val="24"/>
                <w:lang w:val="en-US" w:eastAsia="zh-CN"/>
              </w:rPr>
              <w:t>（10）</w:t>
            </w:r>
          </w:p>
        </w:tc>
        <w:tc>
          <w:tcPr>
            <w:tcW w:w="5631" w:type="dxa"/>
            <w:tcBorders>
              <w:top w:val="nil"/>
              <w:left w:val="nil"/>
              <w:bottom w:val="single" w:color="auto" w:sz="4" w:space="0"/>
              <w:right w:val="single" w:color="auto" w:sz="4" w:space="0"/>
            </w:tcBorders>
            <w:shd w:val="clear" w:color="auto" w:fill="auto"/>
            <w:vAlign w:val="center"/>
          </w:tcPr>
          <w:p w14:paraId="29DA296D">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000000"/>
                <w:kern w:val="0"/>
                <w:sz w:val="24"/>
              </w:rPr>
            </w:pPr>
            <w:r>
              <w:rPr>
                <w:rFonts w:hint="eastAsia" w:ascii="仿宋_GB2312" w:hAnsi="仿宋_GB2312" w:eastAsia="仿宋_GB2312" w:cs="仿宋_GB2312"/>
                <w:color w:val="auto"/>
                <w:kern w:val="0"/>
                <w:sz w:val="24"/>
                <w:highlight w:val="none"/>
                <w:lang w:val="en-US" w:eastAsia="zh-CN" w:bidi="ar-SA"/>
              </w:rPr>
              <w:t>提供自2020年1月1日至响应文件递交截止时间前（以合同签订日期为准）执行的同类项目评估情况佐证材料：项目评估报告等级为优秀的，每个得2分；良好的，每个得1分；其余等级不得分；满分10分。</w:t>
            </w:r>
          </w:p>
        </w:tc>
        <w:tc>
          <w:tcPr>
            <w:tcW w:w="939" w:type="dxa"/>
            <w:tcBorders>
              <w:top w:val="nil"/>
              <w:left w:val="nil"/>
              <w:bottom w:val="single" w:color="auto" w:sz="4" w:space="0"/>
              <w:right w:val="single" w:color="auto" w:sz="4" w:space="0"/>
            </w:tcBorders>
            <w:shd w:val="clear" w:color="auto" w:fill="auto"/>
            <w:vAlign w:val="center"/>
          </w:tcPr>
          <w:p w14:paraId="56D093AA">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r>
      <w:tr w14:paraId="03CA6E6B">
        <w:tblPrEx>
          <w:tblCellMar>
            <w:top w:w="0" w:type="dxa"/>
            <w:left w:w="108" w:type="dxa"/>
            <w:bottom w:w="0" w:type="dxa"/>
            <w:right w:w="108" w:type="dxa"/>
          </w:tblCellMar>
        </w:tblPrEx>
        <w:trPr>
          <w:trHeight w:val="495" w:hRule="atLeast"/>
        </w:trPr>
        <w:tc>
          <w:tcPr>
            <w:tcW w:w="89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D33566C">
            <w:pPr>
              <w:widowControl/>
              <w:jc w:val="center"/>
              <w:rPr>
                <w:rFonts w:ascii="宋体" w:hAnsi="宋体" w:cs="宋体"/>
                <w:b/>
                <w:color w:val="000000"/>
                <w:kern w:val="0"/>
                <w:sz w:val="24"/>
              </w:rPr>
            </w:pPr>
            <w:r>
              <w:rPr>
                <w:rFonts w:hint="eastAsia" w:ascii="宋体" w:hAnsi="宋体" w:cs="宋体"/>
                <w:b/>
                <w:color w:val="000000"/>
                <w:kern w:val="0"/>
                <w:sz w:val="24"/>
              </w:rPr>
              <w:t>二、经费预算评分（</w:t>
            </w:r>
            <w:r>
              <w:rPr>
                <w:rFonts w:hint="eastAsia" w:ascii="宋体" w:hAnsi="宋体" w:cs="宋体"/>
                <w:b/>
                <w:color w:val="000000"/>
                <w:kern w:val="0"/>
                <w:sz w:val="24"/>
                <w:lang w:val="en-US" w:eastAsia="zh-CN"/>
              </w:rPr>
              <w:t>50</w:t>
            </w:r>
            <w:r>
              <w:rPr>
                <w:rFonts w:hint="eastAsia" w:ascii="宋体" w:hAnsi="宋体" w:cs="宋体"/>
                <w:b/>
                <w:color w:val="000000"/>
                <w:kern w:val="0"/>
                <w:sz w:val="24"/>
              </w:rPr>
              <w:t>分）</w:t>
            </w:r>
          </w:p>
        </w:tc>
      </w:tr>
      <w:tr w14:paraId="3CF3F9EF">
        <w:tblPrEx>
          <w:tblCellMar>
            <w:top w:w="0" w:type="dxa"/>
            <w:left w:w="108" w:type="dxa"/>
            <w:bottom w:w="0" w:type="dxa"/>
            <w:right w:w="108" w:type="dxa"/>
          </w:tblCellMar>
        </w:tblPrEx>
        <w:trPr>
          <w:trHeight w:val="1335" w:hRule="atLeast"/>
        </w:trPr>
        <w:tc>
          <w:tcPr>
            <w:tcW w:w="926" w:type="dxa"/>
            <w:tcBorders>
              <w:top w:val="nil"/>
              <w:left w:val="single" w:color="auto" w:sz="4" w:space="0"/>
              <w:bottom w:val="single" w:color="auto" w:sz="4" w:space="0"/>
              <w:right w:val="single" w:color="auto" w:sz="4" w:space="0"/>
            </w:tcBorders>
            <w:shd w:val="clear" w:color="auto" w:fill="auto"/>
            <w:vAlign w:val="center"/>
          </w:tcPr>
          <w:p w14:paraId="17C431B1">
            <w:pPr>
              <w:widowControl/>
              <w:jc w:val="center"/>
              <w:rPr>
                <w:rFonts w:ascii="宋体" w:hAnsi="宋体" w:cs="宋体"/>
                <w:b/>
                <w:bCs/>
                <w:color w:val="000000"/>
                <w:kern w:val="0"/>
                <w:sz w:val="24"/>
              </w:rPr>
            </w:pPr>
            <w:r>
              <w:rPr>
                <w:rFonts w:hint="eastAsia" w:ascii="宋体" w:hAnsi="宋体" w:cs="宋体"/>
                <w:b/>
                <w:bCs/>
                <w:color w:val="000000"/>
                <w:kern w:val="0"/>
                <w:sz w:val="24"/>
              </w:rPr>
              <w:t>经费预算</w:t>
            </w:r>
          </w:p>
        </w:tc>
        <w:tc>
          <w:tcPr>
            <w:tcW w:w="1464" w:type="dxa"/>
            <w:tcBorders>
              <w:top w:val="single" w:color="auto" w:sz="4" w:space="0"/>
              <w:left w:val="nil"/>
              <w:bottom w:val="single" w:color="auto" w:sz="4" w:space="0"/>
              <w:right w:val="single" w:color="auto" w:sz="4" w:space="0"/>
            </w:tcBorders>
            <w:shd w:val="clear" w:color="auto" w:fill="auto"/>
            <w:vAlign w:val="center"/>
          </w:tcPr>
          <w:p w14:paraId="54E1C5F9">
            <w:pPr>
              <w:pStyle w:val="6"/>
              <w:jc w:val="center"/>
              <w:rPr>
                <w:rFonts w:hint="eastAsia" w:ascii="宋体" w:hAnsi="宋体" w:eastAsia="宋体" w:cs="宋体"/>
                <w:b/>
                <w:bCs/>
                <w:color w:val="000000"/>
                <w:kern w:val="0"/>
                <w:sz w:val="24"/>
                <w:szCs w:val="20"/>
                <w:lang w:val="en-US" w:eastAsia="zh-CN" w:bidi="ar-SA"/>
              </w:rPr>
            </w:pPr>
            <w:r>
              <w:rPr>
                <w:rFonts w:hint="eastAsia" w:ascii="宋体" w:hAnsi="宋体" w:eastAsia="宋体" w:cs="宋体"/>
                <w:b/>
                <w:bCs/>
                <w:color w:val="000000"/>
                <w:kern w:val="0"/>
                <w:sz w:val="24"/>
                <w:szCs w:val="20"/>
                <w:lang w:val="en-US" w:eastAsia="zh-CN" w:bidi="ar-SA"/>
              </w:rPr>
              <w:t>报价高低</w:t>
            </w:r>
          </w:p>
          <w:p w14:paraId="5CB6C524">
            <w:pPr>
              <w:pStyle w:val="6"/>
              <w:jc w:val="center"/>
              <w:rPr>
                <w:rFonts w:hint="default" w:eastAsia="宋体"/>
                <w:lang w:val="en-US" w:eastAsia="zh-CN"/>
              </w:rPr>
            </w:pPr>
            <w:r>
              <w:rPr>
                <w:rFonts w:hint="eastAsia" w:ascii="宋体" w:hAnsi="宋体" w:eastAsia="宋体" w:cs="宋体"/>
                <w:b/>
                <w:bCs/>
                <w:color w:val="000000"/>
                <w:kern w:val="0"/>
                <w:sz w:val="24"/>
                <w:szCs w:val="20"/>
                <w:lang w:val="en-US" w:eastAsia="zh-CN" w:bidi="ar-SA"/>
              </w:rPr>
              <w:t>(</w:t>
            </w:r>
            <w:r>
              <w:rPr>
                <w:rFonts w:hint="eastAsia" w:ascii="宋体" w:hAnsi="宋体" w:cs="宋体"/>
                <w:b/>
                <w:bCs/>
                <w:color w:val="000000"/>
                <w:kern w:val="0"/>
                <w:sz w:val="24"/>
                <w:szCs w:val="20"/>
                <w:lang w:val="en-US" w:eastAsia="zh-CN" w:bidi="ar-SA"/>
              </w:rPr>
              <w:t>50</w:t>
            </w:r>
            <w:r>
              <w:rPr>
                <w:rFonts w:hint="eastAsia" w:ascii="宋体" w:hAnsi="宋体" w:eastAsia="宋体" w:cs="宋体"/>
                <w:b/>
                <w:bCs/>
                <w:color w:val="000000"/>
                <w:kern w:val="0"/>
                <w:sz w:val="24"/>
                <w:szCs w:val="20"/>
                <w:lang w:val="en-US" w:eastAsia="zh-CN" w:bidi="ar-SA"/>
              </w:rPr>
              <w:t>分）</w:t>
            </w:r>
          </w:p>
        </w:tc>
        <w:tc>
          <w:tcPr>
            <w:tcW w:w="5631" w:type="dxa"/>
            <w:tcBorders>
              <w:top w:val="nil"/>
              <w:left w:val="nil"/>
              <w:bottom w:val="single" w:color="auto" w:sz="4" w:space="0"/>
              <w:right w:val="single" w:color="auto" w:sz="4" w:space="0"/>
            </w:tcBorders>
            <w:shd w:val="clear" w:color="auto" w:fill="auto"/>
            <w:vAlign w:val="center"/>
          </w:tcPr>
          <w:p w14:paraId="44D7461C">
            <w:pPr>
              <w:widowControl/>
              <w:jc w:val="left"/>
              <w:rPr>
                <w:rFonts w:ascii="宋体" w:hAnsi="宋体" w:cs="宋体"/>
                <w:color w:val="000000"/>
                <w:kern w:val="0"/>
                <w:sz w:val="24"/>
              </w:rPr>
            </w:pPr>
            <w:r>
              <w:rPr>
                <w:rFonts w:hint="eastAsia" w:ascii="仿宋_GB2312" w:hAnsi="仿宋_GB2312" w:eastAsia="仿宋_GB2312" w:cs="仿宋_GB2312"/>
                <w:color w:val="auto"/>
                <w:kern w:val="0"/>
                <w:sz w:val="24"/>
                <w:highlight w:val="none"/>
                <w:lang w:val="en-US" w:eastAsia="zh-CN" w:bidi="ar-SA"/>
              </w:rPr>
              <w:t>按报价高低给分。高于项目公告经费且高出部分为非自筹经费，不得分；按以下公式计算得分(计算分数时四舍五入取小数点后两位）PF=（Fn/F)*25分 PF：供应商的得分 （Fn：报价最低的金额 F：各供应商的报价金额）</w:t>
            </w:r>
          </w:p>
        </w:tc>
        <w:tc>
          <w:tcPr>
            <w:tcW w:w="939" w:type="dxa"/>
            <w:tcBorders>
              <w:top w:val="nil"/>
              <w:left w:val="nil"/>
              <w:bottom w:val="single" w:color="auto" w:sz="4" w:space="0"/>
              <w:right w:val="single" w:color="auto" w:sz="4" w:space="0"/>
            </w:tcBorders>
            <w:shd w:val="clear" w:color="auto" w:fill="auto"/>
            <w:vAlign w:val="center"/>
          </w:tcPr>
          <w:p w14:paraId="550E1777">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50</w:t>
            </w:r>
          </w:p>
        </w:tc>
      </w:tr>
    </w:tbl>
    <w:p w14:paraId="4DB8ABF7">
      <w:pPr>
        <w:widowControl/>
        <w:rPr>
          <w:rFonts w:ascii="华文中宋" w:hAnsi="华文中宋" w:eastAsia="华文中宋"/>
          <w:b/>
          <w:kern w:val="0"/>
          <w:sz w:val="32"/>
          <w:szCs w:val="32"/>
        </w:rPr>
      </w:pPr>
    </w:p>
    <w:p w14:paraId="2C4855EE"/>
    <w:p w14:paraId="2AB10EAA">
      <w:pPr>
        <w:pStyle w:val="2"/>
        <w:rPr>
          <w:rFonts w:ascii="华文中宋" w:hAnsi="华文中宋" w:eastAsia="华文中宋"/>
          <w:b/>
          <w:kern w:val="0"/>
          <w:sz w:val="32"/>
          <w:szCs w:val="32"/>
        </w:rPr>
      </w:pPr>
    </w:p>
    <w:p w14:paraId="5E7B1C81">
      <w:pPr>
        <w:rPr>
          <w:rFonts w:ascii="华文中宋" w:hAnsi="华文中宋" w:eastAsia="华文中宋"/>
          <w:b/>
          <w:kern w:val="0"/>
          <w:sz w:val="32"/>
          <w:szCs w:val="32"/>
        </w:rPr>
      </w:pPr>
    </w:p>
    <w:p w14:paraId="2A8F59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CA0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Chars="200" w:firstLine="420" w:firstLineChars="200"/>
    </w:pPr>
    <w:rPr>
      <w:rFonts w:ascii="Times New Roman"/>
    </w:rPr>
  </w:style>
  <w:style w:type="paragraph" w:styleId="3">
    <w:name w:val="Body Text Indent"/>
    <w:basedOn w:val="1"/>
    <w:unhideWhenUsed/>
    <w:qFormat/>
    <w:uiPriority w:val="99"/>
    <w:pPr>
      <w:ind w:left="420"/>
    </w:pPr>
    <w:rPr>
      <w:rFonts w:ascii="仿宋_GB2312" w:eastAsia="仿宋_GB2312"/>
      <w:sz w:val="32"/>
    </w:rPr>
  </w:style>
  <w:style w:type="paragraph" w:customStyle="1" w:styleId="6">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2024-11-11T02:04:27Z</dcterms:created>
  <dc:creator>56786</dc:creator>
  <cp:lastModifiedBy>Kicy2008</cp:lastModifiedBy>
  <dcterms:modified xsi:type="dcterms:W3CDTF">2024-11-11T02:04:52Z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783343C244F84E61878A02E27CC1013E_12</vt:lpwstr>
  </property>
</Properties>
</file>